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8"/>
        <w:gridCol w:w="1499"/>
        <w:gridCol w:w="2388"/>
        <w:gridCol w:w="5889"/>
        <w:gridCol w:w="2945"/>
        <w:gridCol w:w="796"/>
      </w:tblGrid>
      <w:tr w14:paraId="5D3D5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2" w:hRule="atLeast"/>
          <w:jc w:val="center"/>
        </w:trPr>
        <w:tc>
          <w:tcPr>
            <w:tcW w:w="14225" w:type="dxa"/>
            <w:gridSpan w:val="6"/>
            <w:tcBorders>
              <w:top w:val="nil"/>
              <w:left w:val="nil"/>
              <w:bottom w:val="single" w:color="auto" w:sz="4" w:space="0"/>
              <w:right w:val="nil"/>
            </w:tcBorders>
            <w:vAlign w:val="bottom"/>
          </w:tcPr>
          <w:p w14:paraId="4CC11DB9">
            <w:pPr>
              <w:wordWrap w:val="0"/>
              <w:spacing w:before="0" w:after="0" w:line="160" w:lineRule="atLeast"/>
              <w:ind w:left="0" w:right="0"/>
              <w:jc w:val="center"/>
              <w:textAlignment w:val="baseline"/>
              <w:rPr>
                <w:sz w:val="12"/>
              </w:rPr>
            </w:pPr>
            <w:r>
              <w:rPr>
                <w:rFonts w:hint="eastAsia" w:ascii="方正小标宋简体" w:hAnsi="方正小标宋简体" w:eastAsia="方正小标宋简体" w:cs="方正小标宋简体"/>
                <w:b w:val="0"/>
                <w:i w:val="0"/>
                <w:strike w:val="0"/>
                <w:color w:val="000000"/>
                <w:sz w:val="44"/>
                <w:szCs w:val="44"/>
                <w:lang w:val="en-US" w:eastAsia="zh-CN"/>
              </w:rPr>
              <w:t>大安市</w:t>
            </w:r>
            <w:r>
              <w:rPr>
                <w:rFonts w:hint="eastAsia" w:ascii="方正小标宋简体" w:hAnsi="方正小标宋简体" w:eastAsia="方正小标宋简体" w:cs="方正小标宋简体"/>
                <w:b w:val="0"/>
                <w:i w:val="0"/>
                <w:strike w:val="0"/>
                <w:color w:val="000000"/>
                <w:sz w:val="44"/>
                <w:szCs w:val="44"/>
              </w:rPr>
              <w:t>文化广播电视和旅游局行政处罚“首违不罚”事项清单</w:t>
            </w:r>
          </w:p>
        </w:tc>
      </w:tr>
      <w:tr w14:paraId="044DC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074F4C3">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序号</w:t>
            </w:r>
          </w:p>
        </w:tc>
        <w:tc>
          <w:tcPr>
            <w:tcW w:w="1499" w:type="dxa"/>
            <w:tcBorders>
              <w:top w:val="single" w:color="auto" w:sz="4" w:space="0"/>
              <w:left w:val="single" w:color="auto" w:sz="4" w:space="0"/>
              <w:bottom w:val="single" w:color="auto" w:sz="4" w:space="0"/>
              <w:right w:val="single" w:color="auto" w:sz="4" w:space="0"/>
            </w:tcBorders>
            <w:vAlign w:val="center"/>
          </w:tcPr>
          <w:p w14:paraId="7077E826">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行政机关</w:t>
            </w:r>
          </w:p>
        </w:tc>
        <w:tc>
          <w:tcPr>
            <w:tcW w:w="2388" w:type="dxa"/>
            <w:tcBorders>
              <w:top w:val="single" w:color="auto" w:sz="4" w:space="0"/>
              <w:left w:val="single" w:color="auto" w:sz="4" w:space="0"/>
              <w:bottom w:val="single" w:color="auto" w:sz="4" w:space="0"/>
              <w:right w:val="single" w:color="auto" w:sz="4" w:space="0"/>
            </w:tcBorders>
            <w:vAlign w:val="center"/>
          </w:tcPr>
          <w:p w14:paraId="70515F32">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“首违不罚”</w:t>
            </w:r>
            <w:r>
              <w:rPr>
                <w:rFonts w:hint="eastAsia" w:ascii="黑体" w:hAnsi="黑体" w:eastAsia="黑体" w:cs="黑体"/>
                <w:b w:val="0"/>
                <w:i w:val="0"/>
                <w:strike w:val="0"/>
                <w:color w:val="000000"/>
                <w:sz w:val="28"/>
                <w:szCs w:val="28"/>
                <w:lang w:val="en-US" w:eastAsia="zh-CN"/>
              </w:rPr>
              <w:t xml:space="preserve"> </w:t>
            </w:r>
            <w:r>
              <w:rPr>
                <w:rFonts w:hint="eastAsia" w:ascii="黑体" w:hAnsi="黑体" w:eastAsia="黑体" w:cs="黑体"/>
                <w:b w:val="0"/>
                <w:i w:val="0"/>
                <w:strike w:val="0"/>
                <w:color w:val="000000"/>
                <w:sz w:val="28"/>
                <w:szCs w:val="28"/>
              </w:rPr>
              <w:t>事项</w:t>
            </w:r>
          </w:p>
        </w:tc>
        <w:tc>
          <w:tcPr>
            <w:tcW w:w="5889" w:type="dxa"/>
            <w:tcBorders>
              <w:top w:val="single" w:color="auto" w:sz="4" w:space="0"/>
              <w:left w:val="single" w:color="auto" w:sz="4" w:space="0"/>
              <w:bottom w:val="single" w:color="auto" w:sz="4" w:space="0"/>
              <w:right w:val="single" w:color="auto" w:sz="4" w:space="0"/>
            </w:tcBorders>
            <w:vAlign w:val="center"/>
          </w:tcPr>
          <w:p w14:paraId="23B9E643">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法律依据</w:t>
            </w:r>
          </w:p>
        </w:tc>
        <w:tc>
          <w:tcPr>
            <w:tcW w:w="2945" w:type="dxa"/>
            <w:tcBorders>
              <w:top w:val="single" w:color="auto" w:sz="4" w:space="0"/>
              <w:left w:val="single" w:color="auto" w:sz="4" w:space="0"/>
              <w:bottom w:val="single" w:color="auto" w:sz="4" w:space="0"/>
              <w:right w:val="single" w:color="auto" w:sz="4" w:space="0"/>
            </w:tcBorders>
            <w:vAlign w:val="center"/>
          </w:tcPr>
          <w:p w14:paraId="1C171F39">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备注</w:t>
            </w:r>
          </w:p>
        </w:tc>
        <w:tc>
          <w:tcPr>
            <w:tcW w:w="796" w:type="dxa"/>
            <w:tcBorders>
              <w:top w:val="single" w:color="auto" w:sz="4" w:space="0"/>
              <w:left w:val="single" w:color="auto" w:sz="4" w:space="0"/>
              <w:bottom w:val="single" w:color="auto" w:sz="4" w:space="0"/>
              <w:right w:val="single" w:color="auto" w:sz="4" w:space="0"/>
            </w:tcBorders>
            <w:vAlign w:val="center"/>
          </w:tcPr>
          <w:p w14:paraId="5DB05D18">
            <w:pPr>
              <w:wordWrap w:val="0"/>
              <w:spacing w:before="0" w:after="0" w:line="160" w:lineRule="atLeast"/>
              <w:ind w:left="0" w:right="0"/>
              <w:jc w:val="center"/>
              <w:textAlignment w:val="baseline"/>
              <w:rPr>
                <w:rFonts w:hint="eastAsia" w:ascii="黑体" w:hAnsi="黑体" w:eastAsia="黑体" w:cs="黑体"/>
                <w:sz w:val="28"/>
                <w:szCs w:val="28"/>
              </w:rPr>
            </w:pPr>
            <w:r>
              <w:rPr>
                <w:rFonts w:hint="eastAsia" w:ascii="黑体" w:hAnsi="黑体" w:eastAsia="黑体" w:cs="黑体"/>
                <w:b w:val="0"/>
                <w:i w:val="0"/>
                <w:strike w:val="0"/>
                <w:color w:val="000000"/>
                <w:sz w:val="28"/>
                <w:szCs w:val="28"/>
              </w:rPr>
              <w:t>批次</w:t>
            </w:r>
          </w:p>
        </w:tc>
      </w:tr>
      <w:tr w14:paraId="30DCC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jc w:val="center"/>
        </w:trPr>
        <w:tc>
          <w:tcPr>
            <w:tcW w:w="708" w:type="dxa"/>
            <w:tcBorders>
              <w:top w:val="single" w:color="auto" w:sz="4" w:space="0"/>
            </w:tcBorders>
            <w:vAlign w:val="center"/>
          </w:tcPr>
          <w:p w14:paraId="1A2F372A">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1</w:t>
            </w:r>
          </w:p>
        </w:tc>
        <w:tc>
          <w:tcPr>
            <w:tcW w:w="1499" w:type="dxa"/>
            <w:tcBorders>
              <w:top w:val="single" w:color="auto" w:sz="4" w:space="0"/>
            </w:tcBorders>
            <w:vAlign w:val="center"/>
          </w:tcPr>
          <w:p w14:paraId="38A0DA69">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tcBorders>
              <w:top w:val="single" w:color="auto" w:sz="4" w:space="0"/>
            </w:tcBorders>
            <w:vAlign w:val="center"/>
          </w:tcPr>
          <w:p w14:paraId="33B8ECA0">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在广播电视设施保护范围内种植树木、农作物</w:t>
            </w:r>
          </w:p>
        </w:tc>
        <w:tc>
          <w:tcPr>
            <w:tcW w:w="5889" w:type="dxa"/>
            <w:tcBorders>
              <w:top w:val="single" w:color="auto" w:sz="4" w:space="0"/>
            </w:tcBorders>
            <w:vAlign w:val="center"/>
          </w:tcPr>
          <w:p w14:paraId="579C6A80">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处罚依据:《中华人民共和国行政处罚法》第二十八条、第三十三条、第五十七条第一款(二)项,《广播电视设施保护条例》第二十二条,《吉林省广播电视设施保护条例》第二十四条。</w:t>
            </w:r>
          </w:p>
          <w:p w14:paraId="1C5FDEB9">
            <w:pPr>
              <w:wordWrap w:val="0"/>
              <w:spacing w:before="0" w:after="0" w:line="160" w:lineRule="atLeast"/>
              <w:ind w:left="0" w:right="0"/>
              <w:jc w:val="left"/>
              <w:textAlignment w:val="baseline"/>
              <w:rPr>
                <w:rFonts w:hint="eastAsia"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首违免罚依据:《中华人民共和国行政处罚法》第三十三条</w:t>
            </w:r>
            <w:r>
              <w:rPr>
                <w:rFonts w:hint="eastAsia" w:ascii="宋体" w:hAnsi="宋体" w:eastAsia="宋体" w:cs="宋体"/>
                <w:b w:val="0"/>
                <w:i w:val="0"/>
                <w:strike w:val="0"/>
                <w:color w:val="000000"/>
                <w:sz w:val="20"/>
                <w:szCs w:val="20"/>
                <w:lang w:eastAsia="zh-CN"/>
              </w:rPr>
              <w:t>，</w:t>
            </w:r>
            <w:r>
              <w:rPr>
                <w:rFonts w:ascii="宋体" w:hAnsi="宋体" w:eastAsia="宋体" w:cs="宋体"/>
                <w:b w:val="0"/>
                <w:i w:val="0"/>
                <w:strike w:val="0"/>
                <w:color w:val="000000"/>
                <w:sz w:val="20"/>
                <w:szCs w:val="20"/>
              </w:rPr>
              <w:t>违法行为轻微并及时改正, 没有造成危害后果的, 不予行政处罚。初次违法且危害后果轻微并及时改正的, 可以不予行政处罚</w:t>
            </w:r>
            <w:r>
              <w:rPr>
                <w:rFonts w:hint="eastAsia" w:ascii="宋体" w:hAnsi="宋体" w:eastAsia="宋体" w:cs="宋体"/>
                <w:b w:val="0"/>
                <w:i w:val="0"/>
                <w:strike w:val="0"/>
                <w:color w:val="000000"/>
                <w:sz w:val="20"/>
                <w:szCs w:val="20"/>
                <w:lang w:eastAsia="zh-CN"/>
              </w:rPr>
              <w:t>。</w:t>
            </w:r>
          </w:p>
        </w:tc>
        <w:tc>
          <w:tcPr>
            <w:tcW w:w="2945" w:type="dxa"/>
            <w:tcBorders>
              <w:top w:val="single" w:color="auto" w:sz="4" w:space="0"/>
            </w:tcBorders>
            <w:vAlign w:val="center"/>
          </w:tcPr>
          <w:p w14:paraId="69A31D82">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当事人在广播电视设施保护范围内初次实施种植树木、农作物的违法行为,未对广播电视设施正常运行造成影响,并在行政执法机关限定期限内改正的。</w:t>
            </w:r>
          </w:p>
        </w:tc>
        <w:tc>
          <w:tcPr>
            <w:tcW w:w="796" w:type="dxa"/>
            <w:vMerge w:val="restart"/>
            <w:tcBorders>
              <w:top w:val="single" w:color="auto" w:sz="4" w:space="0"/>
            </w:tcBorders>
            <w:vAlign w:val="center"/>
          </w:tcPr>
          <w:p w14:paraId="3ED64B98">
            <w:pPr>
              <w:wordWrap w:val="0"/>
              <w:spacing w:before="0" w:after="0" w:line="160" w:lineRule="atLeast"/>
              <w:ind w:left="0" w:right="0"/>
              <w:jc w:val="center"/>
              <w:textAlignment w:val="baseline"/>
              <w:rPr>
                <w:sz w:val="15"/>
                <w:szCs w:val="15"/>
              </w:rPr>
            </w:pPr>
            <w:r>
              <w:rPr>
                <w:rFonts w:ascii="宋体" w:hAnsi="宋体" w:eastAsia="宋体" w:cs="宋体"/>
                <w:b w:val="0"/>
                <w:i w:val="0"/>
                <w:strike w:val="0"/>
                <w:color w:val="000000"/>
                <w:sz w:val="20"/>
                <w:szCs w:val="20"/>
              </w:rPr>
              <w:t>第一批</w:t>
            </w:r>
          </w:p>
        </w:tc>
      </w:tr>
      <w:tr w14:paraId="51F00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60" w:hRule="atLeast"/>
          <w:jc w:val="center"/>
        </w:trPr>
        <w:tc>
          <w:tcPr>
            <w:tcW w:w="708" w:type="dxa"/>
            <w:vAlign w:val="center"/>
          </w:tcPr>
          <w:p w14:paraId="6703C841">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2</w:t>
            </w:r>
          </w:p>
        </w:tc>
        <w:tc>
          <w:tcPr>
            <w:tcW w:w="1499" w:type="dxa"/>
            <w:vAlign w:val="center"/>
          </w:tcPr>
          <w:p w14:paraId="49BE02F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20D7F98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专网及定向传播视听节目服务单位的单位名称、办公场所、法定代表人依法变更后未及时向原发证机关备案</w:t>
            </w:r>
          </w:p>
        </w:tc>
        <w:tc>
          <w:tcPr>
            <w:tcW w:w="5889" w:type="dxa"/>
            <w:vAlign w:val="center"/>
          </w:tcPr>
          <w:p w14:paraId="55384A0E">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处罚依据:《中华人民共和国行政处罚法》第二十八条、第三十三条、第五十七条第一款(二)项,《专网及定向传播视听节目服务管理规定》第三十条。</w:t>
            </w:r>
          </w:p>
          <w:p w14:paraId="1C275FE8">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w:t>
            </w:r>
            <w:r>
              <w:rPr>
                <w:rFonts w:hint="eastAsia" w:ascii="宋体" w:hAnsi="宋体" w:eastAsia="宋体" w:cs="宋体"/>
                <w:b w:val="0"/>
                <w:i w:val="0"/>
                <w:strike w:val="0"/>
                <w:color w:val="000000"/>
                <w:sz w:val="20"/>
                <w:szCs w:val="20"/>
                <w:lang w:eastAsia="zh-CN"/>
              </w:rPr>
              <w:t>，</w:t>
            </w:r>
            <w:r>
              <w:rPr>
                <w:rFonts w:ascii="宋体" w:hAnsi="宋体" w:eastAsia="宋体" w:cs="宋体"/>
                <w:b w:val="0"/>
                <w:i w:val="0"/>
                <w:strike w:val="0"/>
                <w:color w:val="000000"/>
                <w:sz w:val="20"/>
                <w:szCs w:val="20"/>
              </w:rPr>
              <w:t>违法行为轻微并及时改正, 没有造成危害后果的,不予行政处罚。初次违法且危害后果轻微并及时改正的,可以不予行政处罚。</w:t>
            </w:r>
          </w:p>
        </w:tc>
        <w:tc>
          <w:tcPr>
            <w:tcW w:w="2945" w:type="dxa"/>
            <w:vAlign w:val="center"/>
          </w:tcPr>
          <w:p w14:paraId="65447FC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当事人初次依法变更单位名称、办公场所、法定代表人后,未在变更后15日内向原发证机关备案,在行政执法机关予以纠正后,能够在限牢期限内履行备案手续的。</w:t>
            </w:r>
          </w:p>
        </w:tc>
        <w:tc>
          <w:tcPr>
            <w:tcW w:w="796" w:type="dxa"/>
            <w:vMerge w:val="continue"/>
          </w:tcPr>
          <w:p w14:paraId="478EE844">
            <w:pPr>
              <w:jc w:val="center"/>
              <w:rPr>
                <w:sz w:val="15"/>
                <w:szCs w:val="15"/>
              </w:rPr>
            </w:pPr>
          </w:p>
        </w:tc>
      </w:tr>
      <w:tr w14:paraId="087C1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jc w:val="center"/>
        </w:trPr>
        <w:tc>
          <w:tcPr>
            <w:tcW w:w="708" w:type="dxa"/>
            <w:vAlign w:val="center"/>
          </w:tcPr>
          <w:p w14:paraId="406B798E">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3</w:t>
            </w:r>
          </w:p>
        </w:tc>
        <w:tc>
          <w:tcPr>
            <w:tcW w:w="1499" w:type="dxa"/>
            <w:vAlign w:val="center"/>
          </w:tcPr>
          <w:p w14:paraId="1BCC0F7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37B25FC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互联网上网服务营业场所经营单位未悬挂《网络文化经营许可证》</w:t>
            </w:r>
          </w:p>
        </w:tc>
        <w:tc>
          <w:tcPr>
            <w:tcW w:w="5889" w:type="dxa"/>
            <w:vAlign w:val="center"/>
          </w:tcPr>
          <w:p w14:paraId="518286BD">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p>
          <w:p w14:paraId="7F097D0F">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首违免罚依据:《中华人民共和国行政处罚法》第三十三条违法行为轻微并及时改正,没有造成危害后果的, 不予行政处罚。初次违法且危害后果轻微并及时改正的, 可以不予行政处罚。</w:t>
            </w:r>
          </w:p>
        </w:tc>
        <w:tc>
          <w:tcPr>
            <w:tcW w:w="2945" w:type="dxa"/>
            <w:vAlign w:val="center"/>
          </w:tcPr>
          <w:p w14:paraId="3D02626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初次违法且危害后果轻微,并及时改正的。</w:t>
            </w:r>
          </w:p>
        </w:tc>
        <w:tc>
          <w:tcPr>
            <w:tcW w:w="796" w:type="dxa"/>
            <w:vMerge w:val="restart"/>
            <w:vAlign w:val="center"/>
          </w:tcPr>
          <w:p w14:paraId="4484A656">
            <w:pPr>
              <w:wordWrap w:val="0"/>
              <w:spacing w:before="0" w:after="0" w:line="160" w:lineRule="atLeast"/>
              <w:ind w:left="0" w:right="0"/>
              <w:jc w:val="center"/>
              <w:textAlignment w:val="baseline"/>
              <w:rPr>
                <w:sz w:val="15"/>
                <w:szCs w:val="15"/>
              </w:rPr>
            </w:pPr>
            <w:r>
              <w:rPr>
                <w:rFonts w:ascii="宋体" w:hAnsi="宋体" w:eastAsia="宋体" w:cs="宋体"/>
                <w:b w:val="0"/>
                <w:i w:val="0"/>
                <w:strike w:val="0"/>
                <w:color w:val="000000"/>
                <w:sz w:val="20"/>
                <w:szCs w:val="20"/>
              </w:rPr>
              <w:t>第二批</w:t>
            </w:r>
          </w:p>
        </w:tc>
      </w:tr>
      <w:tr w14:paraId="27E73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jc w:val="center"/>
        </w:trPr>
        <w:tc>
          <w:tcPr>
            <w:tcW w:w="708" w:type="dxa"/>
            <w:vAlign w:val="center"/>
          </w:tcPr>
          <w:p w14:paraId="58455F3B">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4</w:t>
            </w:r>
          </w:p>
        </w:tc>
        <w:tc>
          <w:tcPr>
            <w:tcW w:w="1499" w:type="dxa"/>
            <w:vAlign w:val="center"/>
          </w:tcPr>
          <w:p w14:paraId="2DD5135F">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7CC88A98">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娱乐场所丛业人员在营业期间未统一着装并佩带工作标志的</w:t>
            </w:r>
          </w:p>
        </w:tc>
        <w:tc>
          <w:tcPr>
            <w:tcW w:w="5889" w:type="dxa"/>
            <w:vAlign w:val="center"/>
          </w:tcPr>
          <w:p w14:paraId="3B9737B8">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处罚依据:《娱乐场所管理条例》第四十九条: 娱乐场所违反本条例规定, 有下列情形之一的, 由县级人民政府文</w:t>
            </w:r>
            <w:r>
              <w:rPr>
                <w:rFonts w:hint="eastAsia" w:ascii="宋体" w:hAnsi="宋体" w:eastAsia="宋体" w:cs="宋体"/>
                <w:b w:val="0"/>
                <w:i w:val="0"/>
                <w:strike w:val="0"/>
                <w:color w:val="000000"/>
                <w:sz w:val="20"/>
                <w:szCs w:val="20"/>
                <w:lang w:eastAsia="zh-CN"/>
              </w:rPr>
              <w:t>化</w:t>
            </w:r>
            <w:r>
              <w:rPr>
                <w:rFonts w:ascii="宋体" w:hAnsi="宋体" w:eastAsia="宋体" w:cs="宋体"/>
                <w:b w:val="0"/>
                <w:i w:val="0"/>
                <w:strike w:val="0"/>
                <w:color w:val="000000"/>
                <w:sz w:val="20"/>
                <w:szCs w:val="20"/>
              </w:rPr>
              <w:t>主管部门责令改正,给予警告;情节严重的, 责令停业整顿1个月至3个月:(三) 从业人员在营业期间未统一着装并佩带工作标志的。</w:t>
            </w:r>
          </w:p>
          <w:p w14:paraId="7D950842">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首违免罚依据:《中华人民共和国行政处罚法》第三十三条违法行为轻微并及时改正,没有造成危害后果的,不予行政处罚。初次违法且危害后果轻微并及时改正的,可以不予行政处罚。</w:t>
            </w:r>
          </w:p>
        </w:tc>
        <w:tc>
          <w:tcPr>
            <w:tcW w:w="2945" w:type="dxa"/>
            <w:vAlign w:val="center"/>
          </w:tcPr>
          <w:p w14:paraId="62259B55">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初次违法且危害后果轻微,并及时改正的。</w:t>
            </w:r>
          </w:p>
        </w:tc>
        <w:tc>
          <w:tcPr>
            <w:tcW w:w="796" w:type="dxa"/>
            <w:vMerge w:val="continue"/>
          </w:tcPr>
          <w:p w14:paraId="3EA3BF80">
            <w:pPr>
              <w:rPr>
                <w:sz w:val="22"/>
                <w:szCs w:val="24"/>
              </w:rPr>
            </w:pPr>
          </w:p>
        </w:tc>
      </w:tr>
      <w:tr w14:paraId="55132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0" w:hRule="atLeast"/>
          <w:jc w:val="center"/>
        </w:trPr>
        <w:tc>
          <w:tcPr>
            <w:tcW w:w="708" w:type="dxa"/>
            <w:vAlign w:val="center"/>
          </w:tcPr>
          <w:p w14:paraId="50225887">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5</w:t>
            </w:r>
          </w:p>
        </w:tc>
        <w:tc>
          <w:tcPr>
            <w:tcW w:w="1499" w:type="dxa"/>
            <w:vAlign w:val="center"/>
          </w:tcPr>
          <w:p w14:paraId="79A89C50">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4EBCF0DD">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娱乐场所未按照《娱乐场所管理条例》规定悬挂警示标志</w:t>
            </w:r>
          </w:p>
        </w:tc>
        <w:tc>
          <w:tcPr>
            <w:tcW w:w="5889" w:type="dxa"/>
            <w:vAlign w:val="center"/>
          </w:tcPr>
          <w:p w14:paraId="42BAC583">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处罚依据:《娱乐场所管理条例》第五十一条: 娱乐场所未按照本条例规定悬挂警示标志、未成年人禁入或者限入标志的,由县级人民政府文化主管部门、县级公安部门依据法定职权责令改正, 给予警告。</w:t>
            </w:r>
          </w:p>
          <w:p w14:paraId="671840A2">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首违免罚依据:《中华人民共和国行政处罚法》第三十三条违法行为轻微并及时改正,没有造成危害后果的,不予行政处罚。初次违法且危害后果轻微并及时改正的,可以不予行政处罚。</w:t>
            </w:r>
          </w:p>
        </w:tc>
        <w:tc>
          <w:tcPr>
            <w:tcW w:w="2945" w:type="dxa"/>
            <w:vAlign w:val="center"/>
          </w:tcPr>
          <w:p w14:paraId="5D4D5B19">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初次违法且危害后果轻微,并及时改正的。</w:t>
            </w:r>
          </w:p>
        </w:tc>
        <w:tc>
          <w:tcPr>
            <w:tcW w:w="796" w:type="dxa"/>
            <w:vMerge w:val="continue"/>
          </w:tcPr>
          <w:p w14:paraId="66E6FC83">
            <w:pPr>
              <w:rPr>
                <w:sz w:val="22"/>
                <w:szCs w:val="24"/>
              </w:rPr>
            </w:pPr>
          </w:p>
        </w:tc>
      </w:tr>
      <w:tr w14:paraId="53729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0" w:hRule="atLeast"/>
          <w:jc w:val="center"/>
        </w:trPr>
        <w:tc>
          <w:tcPr>
            <w:tcW w:w="708" w:type="dxa"/>
            <w:vAlign w:val="center"/>
          </w:tcPr>
          <w:p w14:paraId="33AF2427">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6</w:t>
            </w:r>
          </w:p>
        </w:tc>
        <w:tc>
          <w:tcPr>
            <w:tcW w:w="1499" w:type="dxa"/>
            <w:vAlign w:val="center"/>
          </w:tcPr>
          <w:p w14:paraId="321F4C24">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6E0653E9">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娱乐场所未按照条例规定建立从业人员名簿、营业日志</w:t>
            </w:r>
          </w:p>
        </w:tc>
        <w:tc>
          <w:tcPr>
            <w:tcW w:w="5889" w:type="dxa"/>
            <w:vAlign w:val="center"/>
          </w:tcPr>
          <w:p w14:paraId="1CA573E6">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处罚依据:《娱乐场所管理条例》第五十条娱乐场所未按照本条例规定建立从业人员名簿、营业日志,或者发现违法犯罪行为未按照本条例规定报告的, 由县级人民政府文化主管部门、县级公安部门依据法定职权责令改正, 给予警告; 情节严重的, 责令停业整顿1个月至3个月。</w:t>
            </w:r>
          </w:p>
          <w:p w14:paraId="3FD4D40A">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首违免罚依据:《中华人民共和国行政处罚法》第三十三条违法行为轻微并及时改正,没有造成危害后果的, 不予行政处罚。初次违法且危害后果轻微并及时改正的, 可以不予行政处罚。</w:t>
            </w:r>
          </w:p>
        </w:tc>
        <w:tc>
          <w:tcPr>
            <w:tcW w:w="2945" w:type="dxa"/>
            <w:vAlign w:val="center"/>
          </w:tcPr>
          <w:p w14:paraId="4E7EC283">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初次违法且危害后果轻微,并及时改正的。</w:t>
            </w:r>
          </w:p>
        </w:tc>
        <w:tc>
          <w:tcPr>
            <w:tcW w:w="796" w:type="dxa"/>
            <w:vMerge w:val="continue"/>
          </w:tcPr>
          <w:p w14:paraId="4134BC00">
            <w:pPr>
              <w:rPr>
                <w:sz w:val="22"/>
                <w:szCs w:val="24"/>
              </w:rPr>
            </w:pPr>
          </w:p>
        </w:tc>
      </w:tr>
      <w:tr w14:paraId="55792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10" w:hRule="atLeast"/>
          <w:jc w:val="center"/>
        </w:trPr>
        <w:tc>
          <w:tcPr>
            <w:tcW w:w="708" w:type="dxa"/>
            <w:vAlign w:val="center"/>
          </w:tcPr>
          <w:p w14:paraId="131CB74F">
            <w:pPr>
              <w:wordWrap w:val="0"/>
              <w:spacing w:before="0" w:after="0" w:line="160" w:lineRule="atLeast"/>
              <w:ind w:left="0" w:right="0"/>
              <w:jc w:val="center"/>
              <w:textAlignment w:val="baseline"/>
              <w:rPr>
                <w:sz w:val="32"/>
                <w:szCs w:val="32"/>
              </w:rPr>
            </w:pPr>
            <w:r>
              <w:rPr>
                <w:rFonts w:ascii="宋体" w:hAnsi="宋体" w:eastAsia="宋体" w:cs="宋体"/>
                <w:b w:val="0"/>
                <w:i w:val="0"/>
                <w:strike w:val="0"/>
                <w:color w:val="000000"/>
                <w:sz w:val="32"/>
                <w:szCs w:val="32"/>
              </w:rPr>
              <w:t>7</w:t>
            </w:r>
          </w:p>
        </w:tc>
        <w:tc>
          <w:tcPr>
            <w:tcW w:w="1499" w:type="dxa"/>
            <w:vAlign w:val="center"/>
          </w:tcPr>
          <w:p w14:paraId="50530767">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hint="eastAsia" w:ascii="宋体" w:hAnsi="宋体" w:eastAsia="宋体" w:cs="宋体"/>
                <w:b w:val="0"/>
                <w:i w:val="0"/>
                <w:strike w:val="0"/>
                <w:color w:val="000000"/>
                <w:sz w:val="20"/>
                <w:szCs w:val="20"/>
                <w:lang w:val="en-US" w:eastAsia="zh-CN"/>
              </w:rPr>
              <w:t>大安市</w:t>
            </w:r>
            <w:r>
              <w:rPr>
                <w:rFonts w:ascii="宋体" w:hAnsi="宋体" w:eastAsia="宋体" w:cs="宋体"/>
                <w:b w:val="0"/>
                <w:i w:val="0"/>
                <w:strike w:val="0"/>
                <w:color w:val="000000"/>
                <w:sz w:val="20"/>
                <w:szCs w:val="20"/>
              </w:rPr>
              <w:t>文化广播电视和旅游局</w:t>
            </w:r>
          </w:p>
        </w:tc>
        <w:tc>
          <w:tcPr>
            <w:tcW w:w="2388" w:type="dxa"/>
            <w:vAlign w:val="center"/>
          </w:tcPr>
          <w:p w14:paraId="652FF48B">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对娱乐场所未按规定在显著位置悬挂娱乐经营许可证行为的行政处罚</w:t>
            </w:r>
          </w:p>
        </w:tc>
        <w:tc>
          <w:tcPr>
            <w:tcW w:w="5889" w:type="dxa"/>
            <w:vAlign w:val="center"/>
          </w:tcPr>
          <w:p w14:paraId="010DE9F6">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处罚依据:《娱乐场所管理办法》第二十四条娱乐场所应当在显著位置悬挂娱乐经营许可证、未成年人禁入或者限入标志,标志应当注明举报电话。第三十三条娱乐场所违反本办法第二十四条规定的,由县级以上人民政府文化主管部门责令改正,予以警告。</w:t>
            </w:r>
          </w:p>
          <w:p w14:paraId="362E6418">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首违免罚依据:《中华人民共和国行政处罚法》第三十三条违法行为轻微并及时改正, 没有造成危害后果的,不予行政处罚。初次违法且危害后果轻微并及时改正的,可以不予行政处罚。</w:t>
            </w:r>
          </w:p>
        </w:tc>
        <w:tc>
          <w:tcPr>
            <w:tcW w:w="2945" w:type="dxa"/>
            <w:vAlign w:val="center"/>
          </w:tcPr>
          <w:p w14:paraId="612DE42E">
            <w:pPr>
              <w:wordWrap w:val="0"/>
              <w:spacing w:before="0" w:after="0" w:line="160" w:lineRule="atLeast"/>
              <w:ind w:left="0" w:right="0"/>
              <w:jc w:val="left"/>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初次违法且危害后果轻微,并及时改正的。</w:t>
            </w:r>
          </w:p>
        </w:tc>
        <w:tc>
          <w:tcPr>
            <w:tcW w:w="796" w:type="dxa"/>
            <w:vMerge w:val="continue"/>
          </w:tcPr>
          <w:p w14:paraId="4C9E1C42">
            <w:pPr>
              <w:rPr>
                <w:sz w:val="22"/>
                <w:szCs w:val="24"/>
              </w:rPr>
            </w:pPr>
          </w:p>
        </w:tc>
      </w:tr>
    </w:tbl>
    <w:p w14:paraId="0ED3685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ZDIxOGJjZjE4ZDVjZmRhMjU0M2I5OWVhNzkxYmYifQ=="/>
  </w:docVars>
  <w:rsids>
    <w:rsidRoot w:val="00000000"/>
    <w:rsid w:val="31F3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2024-08-26T08:23:06Z</dcterms:created>
  <dc:creator>Administrator</dc:creator>
  <cp:lastModifiedBy>卓越篮球训练营（张教练）</cp:lastModifiedBy>
  <dcterms:modified xsi:type="dcterms:W3CDTF">2024-08-26T08:23:54Z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B1FC37EBD49242E0ACBCF4DD973DD585_12</vt:lpwstr>
  </property>
</Properties>
</file>