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大安市工业和信息化高质量发展专项资金（因素法）拟分配结果明细表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13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产值增量因素奖补（万元）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疫情期间连续生产奖补（万元）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合计补助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戈壁能源公司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4.17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吉林天能电力工程机械有限公司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1.54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罗赛洛（大安）明胶有限公司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1.14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4.14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6.85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16.85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DM2YzM3ZDhlZjNiNzZkODE2NmJjODQ0ZjcwNTEifQ=="/>
  </w:docVars>
  <w:rsids>
    <w:rsidRoot w:val="545301E0"/>
    <w:rsid w:val="008D2331"/>
    <w:rsid w:val="545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151</Characters>
  <Lines>0</Lines>
  <Paragraphs>0</Paragraphs>
  <TotalTime>0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2022-11-14T06:51:00Z</dcterms:created>
  <dc:creator>我心向阳°</dc:creator>
  <cp:lastModifiedBy>我心向阳°</cp:lastModifiedBy>
  <dcterms:modified xsi:type="dcterms:W3CDTF">2022-11-16T01:52:07Z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A708A3D248A34FD581ADC263AB877113</vt:lpwstr>
  </property>
</Properties>
</file>