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大安市营商环境考核评价指标体系（各部门、乡镇（街道））</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（五维指标：13个一级指标和36个二级指标）</w:t>
      </w:r>
    </w:p>
    <w:tbl>
      <w:tblPr>
        <w:tblStyle w:val="5"/>
        <w:tblW w:w="13820"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2524"/>
        <w:gridCol w:w="6331"/>
        <w:gridCol w:w="1645"/>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Pr>
          <w:p>
            <w:pPr>
              <w:jc w:val="center"/>
              <w:rPr>
                <w:rFonts w:hint="eastAsia"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一级指标</w:t>
            </w:r>
          </w:p>
        </w:tc>
        <w:tc>
          <w:tcPr>
            <w:tcW w:w="2524" w:type="dxa"/>
          </w:tcPr>
          <w:p>
            <w:pPr>
              <w:jc w:val="center"/>
              <w:rPr>
                <w:rFonts w:hint="eastAsia"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二级指标</w:t>
            </w:r>
          </w:p>
        </w:tc>
        <w:tc>
          <w:tcPr>
            <w:tcW w:w="6331" w:type="dxa"/>
          </w:tcPr>
          <w:p>
            <w:pPr>
              <w:jc w:val="center"/>
              <w:rPr>
                <w:rFonts w:hint="default"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考评内容及标准</w:t>
            </w:r>
          </w:p>
        </w:tc>
        <w:tc>
          <w:tcPr>
            <w:tcW w:w="1645" w:type="dxa"/>
          </w:tcPr>
          <w:p>
            <w:pPr>
              <w:jc w:val="center"/>
              <w:rPr>
                <w:rFonts w:hint="eastAsia"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责任部门</w:t>
            </w:r>
          </w:p>
        </w:tc>
        <w:tc>
          <w:tcPr>
            <w:tcW w:w="1644" w:type="dxa"/>
          </w:tcPr>
          <w:p>
            <w:pPr>
              <w:jc w:val="center"/>
              <w:rPr>
                <w:rFonts w:hint="default"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0" w:type="dxa"/>
            <w:gridSpan w:val="5"/>
          </w:tcPr>
          <w:p>
            <w:pPr>
              <w:jc w:val="cente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b w:val="0"/>
                <w:bCs w:val="0"/>
                <w:sz w:val="30"/>
                <w:szCs w:val="30"/>
                <w:vertAlign w:val="baseline"/>
                <w:lang w:val="en-US" w:eastAsia="zh-CN"/>
              </w:rPr>
              <w:t>基础建设和执行协同（3</w:t>
            </w:r>
            <w:r>
              <w:rPr>
                <w:rFonts w:hint="eastAsia" w:ascii="仿宋_GB2312" w:hAnsi="仿宋_GB2312" w:eastAsia="仿宋_GB2312" w:cs="仿宋_GB2312"/>
                <w:b w:val="0"/>
                <w:bCs w:val="0"/>
                <w:sz w:val="28"/>
                <w:szCs w:val="28"/>
                <w:lang w:val="en-US" w:eastAsia="zh-CN"/>
              </w:rPr>
              <w:t>个一级指标，17个二级指标</w:t>
            </w:r>
            <w:r>
              <w:rPr>
                <w:rFonts w:hint="eastAsia" w:ascii="仿宋_GB2312" w:hAnsi="仿宋_GB2312" w:eastAsia="仿宋_GB2312" w:cs="仿宋_GB2312"/>
                <w:b w:val="0"/>
                <w:bCs w:val="0"/>
                <w:sz w:val="30"/>
                <w:szCs w:val="30"/>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restart"/>
          </w:tcPr>
          <w:p>
            <w:p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1.加强基础建设</w:t>
            </w:r>
          </w:p>
          <w:p>
            <w:pPr>
              <w:jc w:val="both"/>
              <w:rPr>
                <w:rFonts w:hint="eastAsia" w:ascii="仿宋_GB2312" w:hAnsi="仿宋_GB2312" w:eastAsia="仿宋_GB2312" w:cs="仿宋_GB2312"/>
                <w:b/>
                <w:bCs/>
                <w:sz w:val="24"/>
                <w:szCs w:val="24"/>
                <w:vertAlign w:val="baseline"/>
                <w:lang w:val="en-US" w:eastAsia="zh-CN"/>
              </w:rPr>
            </w:pPr>
          </w:p>
          <w:p>
            <w:pPr>
              <w:jc w:val="both"/>
              <w:rPr>
                <w:rFonts w:hint="eastAsia" w:ascii="仿宋_GB2312" w:hAnsi="仿宋_GB2312" w:eastAsia="仿宋_GB2312" w:cs="仿宋_GB2312"/>
                <w:b/>
                <w:bCs/>
                <w:sz w:val="24"/>
                <w:szCs w:val="24"/>
                <w:vertAlign w:val="baseline"/>
                <w:lang w:val="en-US" w:eastAsia="zh-CN"/>
              </w:rPr>
            </w:pPr>
          </w:p>
          <w:p>
            <w:pPr>
              <w:jc w:val="both"/>
              <w:rPr>
                <w:rFonts w:hint="eastAsia" w:ascii="仿宋_GB2312" w:hAnsi="仿宋_GB2312" w:eastAsia="仿宋_GB2312" w:cs="仿宋_GB2312"/>
                <w:b/>
                <w:bCs/>
                <w:sz w:val="24"/>
                <w:szCs w:val="24"/>
                <w:vertAlign w:val="baseline"/>
                <w:lang w:val="en-US" w:eastAsia="zh-CN"/>
              </w:rPr>
            </w:pPr>
          </w:p>
          <w:p>
            <w:pPr>
              <w:jc w:val="both"/>
              <w:rPr>
                <w:rFonts w:hint="eastAsia" w:ascii="仿宋_GB2312" w:hAnsi="仿宋_GB2312" w:eastAsia="仿宋_GB2312" w:cs="仿宋_GB2312"/>
                <w:b/>
                <w:bCs/>
                <w:sz w:val="30"/>
                <w:szCs w:val="30"/>
                <w:vertAlign w:val="baseline"/>
                <w:lang w:val="en-US" w:eastAsia="zh-CN"/>
              </w:rPr>
            </w:pPr>
          </w:p>
        </w:tc>
        <w:tc>
          <w:tcPr>
            <w:tcW w:w="2524"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1.1制定年度营商环境实施计划，并在部门网站公开。</w:t>
            </w:r>
          </w:p>
        </w:tc>
        <w:tc>
          <w:tcPr>
            <w:tcW w:w="6331"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未制定年度营商环境建设实施方案的,扣2分;制定但未公开的,扣1分。</w:t>
            </w:r>
          </w:p>
        </w:tc>
        <w:tc>
          <w:tcPr>
            <w:tcW w:w="1645" w:type="dxa"/>
            <w:vMerge w:val="restart"/>
          </w:tcPr>
          <w:p>
            <w:pPr>
              <w:jc w:val="both"/>
              <w:rPr>
                <w:rFonts w:hint="eastAsia" w:ascii="仿宋_GB2312" w:hAnsi="仿宋_GB2312" w:eastAsia="仿宋_GB2312" w:cs="仿宋_GB2312"/>
                <w:sz w:val="30"/>
                <w:szCs w:val="30"/>
                <w:vertAlign w:val="baseline"/>
                <w:lang w:val="en-US" w:eastAsia="zh-CN"/>
              </w:rPr>
            </w:pPr>
          </w:p>
          <w:p>
            <w:pPr>
              <w:jc w:val="both"/>
              <w:rPr>
                <w:rFonts w:hint="eastAsia" w:ascii="仿宋_GB2312" w:hAnsi="仿宋_GB2312" w:eastAsia="仿宋_GB2312" w:cs="仿宋_GB2312"/>
                <w:sz w:val="30"/>
                <w:szCs w:val="30"/>
                <w:vertAlign w:val="baseline"/>
                <w:lang w:val="en-US" w:eastAsia="zh-CN"/>
              </w:rPr>
            </w:pPr>
          </w:p>
          <w:p>
            <w:pPr>
              <w:jc w:val="both"/>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2"/>
                <w:szCs w:val="32"/>
                <w:lang w:val="en-US" w:eastAsia="zh-CN"/>
              </w:rPr>
              <w:t>各部门、乡镇（街道）</w:t>
            </w:r>
          </w:p>
        </w:tc>
        <w:tc>
          <w:tcPr>
            <w:tcW w:w="1644" w:type="dxa"/>
            <w:vMerge w:val="restart"/>
          </w:tcPr>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continue"/>
          </w:tcPr>
          <w:p>
            <w:pPr>
              <w:jc w:val="both"/>
              <w:rPr>
                <w:rFonts w:hint="eastAsia" w:ascii="仿宋_GB2312" w:hAnsi="仿宋_GB2312" w:eastAsia="仿宋_GB2312" w:cs="仿宋_GB2312"/>
                <w:b/>
                <w:bCs/>
                <w:sz w:val="30"/>
                <w:szCs w:val="30"/>
                <w:vertAlign w:val="baseline"/>
                <w:lang w:val="en-US" w:eastAsia="zh-CN"/>
              </w:rPr>
            </w:pPr>
          </w:p>
        </w:tc>
        <w:tc>
          <w:tcPr>
            <w:tcW w:w="2524"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1.2指定专人负责营商环境建设工作</w:t>
            </w:r>
          </w:p>
        </w:tc>
        <w:tc>
          <w:tcPr>
            <w:tcW w:w="6331"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未配备营商环境建设联络员的,扣2分;联络员变更未及时报备的,扣1分。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continue"/>
          </w:tcPr>
          <w:p>
            <w:pPr>
              <w:jc w:val="both"/>
              <w:rPr>
                <w:rFonts w:hint="eastAsia" w:ascii="仿宋_GB2312" w:hAnsi="仿宋_GB2312" w:eastAsia="仿宋_GB2312" w:cs="仿宋_GB2312"/>
                <w:b/>
                <w:bCs/>
                <w:sz w:val="30"/>
                <w:szCs w:val="30"/>
                <w:vertAlign w:val="baseline"/>
                <w:lang w:val="en-US" w:eastAsia="zh-CN"/>
              </w:rPr>
            </w:pPr>
          </w:p>
        </w:tc>
        <w:tc>
          <w:tcPr>
            <w:tcW w:w="2524"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1.3落实重点工作任务</w:t>
            </w:r>
          </w:p>
        </w:tc>
        <w:tc>
          <w:tcPr>
            <w:tcW w:w="6331"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围绕《吉林省优化营商环境条例》确定的重点内容及年度营商环境建设重点工作任务,逐项细化分解并明确责任单位、责任人及完成时限。工作没有开展的,扣2分;没有按时限和标准要求完成的扣1分/项。</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continue"/>
          </w:tcPr>
          <w:p>
            <w:pPr>
              <w:jc w:val="both"/>
              <w:rPr>
                <w:rFonts w:hint="eastAsia" w:ascii="仿宋_GB2312" w:hAnsi="仿宋_GB2312" w:eastAsia="仿宋_GB2312" w:cs="仿宋_GB2312"/>
                <w:b/>
                <w:bCs/>
                <w:sz w:val="30"/>
                <w:szCs w:val="30"/>
                <w:vertAlign w:val="baseline"/>
                <w:lang w:val="en-US" w:eastAsia="zh-CN"/>
              </w:rPr>
            </w:pPr>
          </w:p>
        </w:tc>
        <w:tc>
          <w:tcPr>
            <w:tcW w:w="2524"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1.4行业禁令制定</w:t>
            </w:r>
          </w:p>
        </w:tc>
        <w:tc>
          <w:tcPr>
            <w:tcW w:w="6331"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具有行政管理、执法和服务职能的部门应制定而未制定规章制度和行业禁令等文件的,扣2分。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continue"/>
          </w:tcPr>
          <w:p>
            <w:pPr>
              <w:jc w:val="both"/>
              <w:rPr>
                <w:rFonts w:hint="eastAsia" w:ascii="仿宋_GB2312" w:hAnsi="仿宋_GB2312" w:eastAsia="仿宋_GB2312" w:cs="仿宋_GB2312"/>
                <w:sz w:val="30"/>
                <w:szCs w:val="30"/>
                <w:vertAlign w:val="baseline"/>
                <w:lang w:val="en-US" w:eastAsia="zh-CN"/>
              </w:rPr>
            </w:pPr>
          </w:p>
        </w:tc>
        <w:tc>
          <w:tcPr>
            <w:tcW w:w="2524"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1.5机关作风建设</w:t>
            </w:r>
          </w:p>
        </w:tc>
        <w:tc>
          <w:tcPr>
            <w:tcW w:w="6331"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发现在机关作风、工作纪律、办事效率和窗口服务等方面存在问题,并经查实的,扣1分/件。</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continue"/>
            <w:vAlign w:val="top"/>
          </w:tcPr>
          <w:p>
            <w:pPr>
              <w:numPr>
                <w:ilvl w:val="0"/>
                <w:numId w:val="0"/>
              </w:numPr>
              <w:ind w:left="0" w:leftChars="0" w:firstLine="0" w:firstLineChars="0"/>
              <w:jc w:val="both"/>
              <w:rPr>
                <w:rFonts w:hint="eastAsia" w:ascii="仿宋_GB2312" w:hAnsi="仿宋_GB2312" w:eastAsia="仿宋_GB2312" w:cs="仿宋_GB2312"/>
                <w:sz w:val="30"/>
                <w:szCs w:val="30"/>
                <w:vertAlign w:val="baseline"/>
                <w:lang w:val="en-US" w:eastAsia="zh-CN"/>
              </w:rPr>
            </w:pPr>
          </w:p>
        </w:tc>
        <w:tc>
          <w:tcPr>
            <w:tcW w:w="2524" w:type="dxa"/>
            <w:vAlign w:val="top"/>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1.6机关作风建设</w:t>
            </w:r>
          </w:p>
        </w:tc>
        <w:tc>
          <w:tcPr>
            <w:tcW w:w="6331" w:type="dxa"/>
            <w:vAlign w:val="top"/>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落实警示、通报、告诫制度,年度内被市软环境办警示、通报批评、告诫的,分别扣1分/件次、2分/件次、3分/件次。未按要求进行纠正、处理、整改的,扣2分/件次。</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bl>
    <w:p>
      <w:pPr>
        <w:jc w:val="both"/>
      </w:pPr>
    </w:p>
    <w:tbl>
      <w:tblPr>
        <w:tblStyle w:val="5"/>
        <w:tblW w:w="13820"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2524"/>
        <w:gridCol w:w="6331"/>
        <w:gridCol w:w="1645"/>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Pr>
          <w:p>
            <w:pPr>
              <w:jc w:val="center"/>
              <w:rPr>
                <w:rFonts w:hint="eastAsia"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一级指标</w:t>
            </w:r>
          </w:p>
        </w:tc>
        <w:tc>
          <w:tcPr>
            <w:tcW w:w="2524" w:type="dxa"/>
          </w:tcPr>
          <w:p>
            <w:pPr>
              <w:jc w:val="center"/>
              <w:rPr>
                <w:rFonts w:hint="eastAsia"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二级指标</w:t>
            </w:r>
          </w:p>
        </w:tc>
        <w:tc>
          <w:tcPr>
            <w:tcW w:w="6331" w:type="dxa"/>
          </w:tcPr>
          <w:p>
            <w:pPr>
              <w:jc w:val="center"/>
              <w:rPr>
                <w:rFonts w:hint="default"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考评内容及标准</w:t>
            </w:r>
          </w:p>
        </w:tc>
        <w:tc>
          <w:tcPr>
            <w:tcW w:w="1645" w:type="dxa"/>
          </w:tcPr>
          <w:p>
            <w:pPr>
              <w:jc w:val="center"/>
              <w:rPr>
                <w:rFonts w:hint="eastAsia"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责任部门</w:t>
            </w:r>
          </w:p>
        </w:tc>
        <w:tc>
          <w:tcPr>
            <w:tcW w:w="1644" w:type="dxa"/>
          </w:tcPr>
          <w:p>
            <w:pPr>
              <w:jc w:val="center"/>
              <w:rPr>
                <w:rFonts w:hint="default"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restart"/>
          </w:tcPr>
          <w:p>
            <w:p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2.强化工作执行</w:t>
            </w:r>
          </w:p>
          <w:p>
            <w:pPr>
              <w:jc w:val="both"/>
              <w:rPr>
                <w:rFonts w:hint="eastAsia" w:ascii="仿宋_GB2312" w:hAnsi="仿宋_GB2312" w:eastAsia="仿宋_GB2312" w:cs="仿宋_GB2312"/>
                <w:b/>
                <w:bCs/>
                <w:sz w:val="24"/>
                <w:szCs w:val="24"/>
                <w:vertAlign w:val="baseline"/>
                <w:lang w:val="en-US" w:eastAsia="zh-CN"/>
              </w:rPr>
            </w:pPr>
          </w:p>
          <w:p>
            <w:pPr>
              <w:jc w:val="both"/>
              <w:rPr>
                <w:rFonts w:hint="eastAsia" w:ascii="仿宋_GB2312" w:hAnsi="仿宋_GB2312" w:eastAsia="仿宋_GB2312" w:cs="仿宋_GB2312"/>
                <w:b/>
                <w:bCs/>
                <w:sz w:val="24"/>
                <w:szCs w:val="24"/>
                <w:vertAlign w:val="baseline"/>
                <w:lang w:val="en-US" w:eastAsia="zh-CN"/>
              </w:rPr>
            </w:pPr>
          </w:p>
          <w:p>
            <w:pPr>
              <w:jc w:val="both"/>
              <w:rPr>
                <w:rFonts w:hint="eastAsia" w:ascii="仿宋_GB2312" w:hAnsi="仿宋_GB2312" w:eastAsia="仿宋_GB2312" w:cs="仿宋_GB2312"/>
                <w:b/>
                <w:bCs/>
                <w:sz w:val="24"/>
                <w:szCs w:val="24"/>
                <w:vertAlign w:val="baseline"/>
                <w:lang w:val="en-US" w:eastAsia="zh-CN"/>
              </w:rPr>
            </w:pPr>
          </w:p>
          <w:p>
            <w:pPr>
              <w:jc w:val="both"/>
              <w:rPr>
                <w:rFonts w:hint="eastAsia" w:ascii="仿宋_GB2312" w:hAnsi="仿宋_GB2312" w:eastAsia="仿宋_GB2312" w:cs="仿宋_GB2312"/>
                <w:b/>
                <w:bCs/>
                <w:sz w:val="30"/>
                <w:szCs w:val="30"/>
                <w:vertAlign w:val="baseline"/>
                <w:lang w:val="en-US" w:eastAsia="zh-CN"/>
              </w:rPr>
            </w:pPr>
          </w:p>
        </w:tc>
        <w:tc>
          <w:tcPr>
            <w:tcW w:w="2524"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2.1完成省标任务</w:t>
            </w:r>
          </w:p>
        </w:tc>
        <w:tc>
          <w:tcPr>
            <w:tcW w:w="6331"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在省对我市评价中,所负责的各项二级指标的评价排序,每低于全市综合评价总体排序一名,扣该指标责任单位1分。</w:t>
            </w:r>
          </w:p>
        </w:tc>
        <w:tc>
          <w:tcPr>
            <w:tcW w:w="1645" w:type="dxa"/>
            <w:vMerge w:val="restart"/>
          </w:tcPr>
          <w:p>
            <w:pPr>
              <w:jc w:val="both"/>
              <w:rPr>
                <w:rFonts w:hint="eastAsia" w:ascii="仿宋_GB2312" w:hAnsi="仿宋_GB2312" w:eastAsia="仿宋_GB2312" w:cs="仿宋_GB2312"/>
                <w:sz w:val="30"/>
                <w:szCs w:val="30"/>
                <w:vertAlign w:val="baseline"/>
                <w:lang w:val="en-US" w:eastAsia="zh-CN"/>
              </w:rPr>
            </w:pPr>
          </w:p>
          <w:p>
            <w:pPr>
              <w:jc w:val="both"/>
              <w:rPr>
                <w:rFonts w:hint="eastAsia" w:ascii="仿宋_GB2312" w:hAnsi="仿宋_GB2312" w:eastAsia="仿宋_GB2312" w:cs="仿宋_GB2312"/>
                <w:sz w:val="30"/>
                <w:szCs w:val="30"/>
                <w:vertAlign w:val="baseline"/>
                <w:lang w:val="en-US" w:eastAsia="zh-CN"/>
              </w:rPr>
            </w:pPr>
          </w:p>
          <w:p>
            <w:pPr>
              <w:jc w:val="both"/>
              <w:rPr>
                <w:rFonts w:hint="eastAsia" w:ascii="仿宋_GB2312" w:hAnsi="仿宋_GB2312" w:eastAsia="仿宋_GB2312" w:cs="仿宋_GB2312"/>
                <w:sz w:val="30"/>
                <w:szCs w:val="30"/>
                <w:vertAlign w:val="baseline"/>
                <w:lang w:val="en-US" w:eastAsia="zh-CN"/>
              </w:rPr>
            </w:pPr>
          </w:p>
          <w:p>
            <w:pPr>
              <w:jc w:val="both"/>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2"/>
                <w:szCs w:val="32"/>
                <w:lang w:val="en-US" w:eastAsia="zh-CN"/>
              </w:rPr>
              <w:t>各部门、乡镇（街道）</w:t>
            </w:r>
          </w:p>
        </w:tc>
        <w:tc>
          <w:tcPr>
            <w:tcW w:w="1644" w:type="dxa"/>
            <w:vMerge w:val="restart"/>
          </w:tcPr>
          <w:p>
            <w:pPr>
              <w:jc w:val="both"/>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continue"/>
          </w:tcPr>
          <w:p>
            <w:pPr>
              <w:jc w:val="both"/>
              <w:rPr>
                <w:rFonts w:hint="eastAsia" w:ascii="仿宋_GB2312" w:hAnsi="仿宋_GB2312" w:eastAsia="仿宋_GB2312" w:cs="仿宋_GB2312"/>
                <w:b/>
                <w:bCs/>
                <w:sz w:val="30"/>
                <w:szCs w:val="30"/>
                <w:vertAlign w:val="baseline"/>
                <w:lang w:val="en-US" w:eastAsia="zh-CN"/>
              </w:rPr>
            </w:pPr>
          </w:p>
        </w:tc>
        <w:tc>
          <w:tcPr>
            <w:tcW w:w="2524"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2.2公共资源配置领域政府信息公开</w:t>
            </w:r>
          </w:p>
        </w:tc>
        <w:tc>
          <w:tcPr>
            <w:tcW w:w="6331"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推进公共资源配置领域政府信息公开、公共资源配置全流程透明化,决策、执行、管理、服务、结果公开,做好政策解读与回应关切工作等方面的评价。未按公开的时限、范围和方式的规定公开相关信息的扣0.3分/例,未做好解读回应工作的扣0.5分/例。</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continue"/>
          </w:tcPr>
          <w:p>
            <w:pPr>
              <w:jc w:val="both"/>
              <w:rPr>
                <w:rFonts w:hint="eastAsia" w:ascii="仿宋_GB2312" w:hAnsi="仿宋_GB2312" w:eastAsia="仿宋_GB2312" w:cs="仿宋_GB2312"/>
                <w:b/>
                <w:bCs/>
                <w:sz w:val="30"/>
                <w:szCs w:val="30"/>
                <w:vertAlign w:val="baseline"/>
                <w:lang w:val="en-US" w:eastAsia="zh-CN"/>
              </w:rPr>
            </w:pPr>
          </w:p>
        </w:tc>
        <w:tc>
          <w:tcPr>
            <w:tcW w:w="2524"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2.3数据共享</w:t>
            </w:r>
          </w:p>
        </w:tc>
        <w:tc>
          <w:tcPr>
            <w:tcW w:w="6331"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各部门完成本部门证照数据和行业信用信息数据归集工作任务。按照归集比例≤25%的扣2分;归集比例≤50%的扣1分;归集比例≤75</w:t>
            </w:r>
            <w:bookmarkStart w:id="0" w:name="_GoBack"/>
            <w:bookmarkEnd w:id="0"/>
            <w:r>
              <w:rPr>
                <w:rFonts w:hint="eastAsia" w:ascii="仿宋_GB2312" w:hAnsi="仿宋_GB2312" w:eastAsia="仿宋_GB2312" w:cs="仿宋_GB2312"/>
                <w:sz w:val="24"/>
                <w:szCs w:val="24"/>
                <w:vertAlign w:val="baseline"/>
                <w:lang w:val="en-US" w:eastAsia="zh-CN"/>
              </w:rPr>
              <w:t>%的扣0.5分。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continue"/>
          </w:tcPr>
          <w:p>
            <w:pPr>
              <w:jc w:val="both"/>
              <w:rPr>
                <w:rFonts w:hint="eastAsia" w:ascii="仿宋_GB2312" w:hAnsi="仿宋_GB2312" w:eastAsia="仿宋_GB2312" w:cs="仿宋_GB2312"/>
                <w:b/>
                <w:bCs/>
                <w:sz w:val="30"/>
                <w:szCs w:val="30"/>
                <w:vertAlign w:val="baseline"/>
                <w:lang w:val="en-US" w:eastAsia="zh-CN"/>
              </w:rPr>
            </w:pPr>
          </w:p>
        </w:tc>
        <w:tc>
          <w:tcPr>
            <w:tcW w:w="2524"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2.4“一网通办”</w:t>
            </w:r>
          </w:p>
        </w:tc>
        <w:tc>
          <w:tcPr>
            <w:tcW w:w="6331"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市（县）级政务服务事项网上可办率不低于70%,未达到70%扣2分。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continue"/>
          </w:tcPr>
          <w:p>
            <w:pPr>
              <w:jc w:val="both"/>
              <w:rPr>
                <w:rFonts w:hint="eastAsia" w:ascii="仿宋_GB2312" w:hAnsi="仿宋_GB2312" w:eastAsia="仿宋_GB2312" w:cs="仿宋_GB2312"/>
                <w:sz w:val="30"/>
                <w:szCs w:val="30"/>
                <w:vertAlign w:val="baseline"/>
                <w:lang w:val="en-US" w:eastAsia="zh-CN"/>
              </w:rPr>
            </w:pPr>
          </w:p>
        </w:tc>
        <w:tc>
          <w:tcPr>
            <w:tcW w:w="2524"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2.5“一窗受理”</w:t>
            </w:r>
          </w:p>
        </w:tc>
        <w:tc>
          <w:tcPr>
            <w:tcW w:w="6331"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政务服务事项进驻综合性实体政务大厅实现应进必进,70%以上政务服务事项实现“一窗”分类受理,未达到70%扣1分。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continue"/>
          </w:tcPr>
          <w:p>
            <w:pPr>
              <w:jc w:val="both"/>
              <w:rPr>
                <w:rFonts w:hint="eastAsia" w:ascii="仿宋_GB2312" w:hAnsi="仿宋_GB2312" w:eastAsia="仿宋_GB2312" w:cs="仿宋_GB2312"/>
                <w:sz w:val="30"/>
                <w:szCs w:val="30"/>
                <w:vertAlign w:val="baseline"/>
                <w:lang w:val="en-US" w:eastAsia="zh-CN"/>
              </w:rPr>
            </w:pPr>
          </w:p>
        </w:tc>
        <w:tc>
          <w:tcPr>
            <w:tcW w:w="2524"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2.6政务服务标准化</w:t>
            </w:r>
          </w:p>
        </w:tc>
        <w:tc>
          <w:tcPr>
            <w:tcW w:w="6331"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未公开发布政务大厅进驻事项服务指南;许可事项标准不清晰,申报条件和申报材料要求中存在模糊性表述或兜底性条款的,每有1项扣0.5分。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continue"/>
          </w:tcPr>
          <w:p>
            <w:pPr>
              <w:jc w:val="both"/>
              <w:rPr>
                <w:rFonts w:hint="eastAsia" w:ascii="仿宋_GB2312" w:hAnsi="仿宋_GB2312" w:eastAsia="仿宋_GB2312" w:cs="仿宋_GB2312"/>
                <w:sz w:val="30"/>
                <w:szCs w:val="30"/>
                <w:vertAlign w:val="baseline"/>
                <w:lang w:val="en-US" w:eastAsia="zh-CN"/>
              </w:rPr>
            </w:pPr>
          </w:p>
        </w:tc>
        <w:tc>
          <w:tcPr>
            <w:tcW w:w="2524" w:type="dxa"/>
            <w:vAlign w:val="top"/>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2.7“只跑一次”改革</w:t>
            </w:r>
          </w:p>
        </w:tc>
        <w:tc>
          <w:tcPr>
            <w:tcW w:w="6331" w:type="dxa"/>
            <w:vAlign w:val="top"/>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企业和群众到政府办事提供的材料减少60%以上,100个高频事项实现“最多跑一次”,未达到的扣2分。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continue"/>
          </w:tcPr>
          <w:p>
            <w:pPr>
              <w:jc w:val="both"/>
              <w:rPr>
                <w:rFonts w:hint="eastAsia" w:ascii="仿宋_GB2312" w:hAnsi="仿宋_GB2312" w:eastAsia="仿宋_GB2312" w:cs="仿宋_GB2312"/>
                <w:sz w:val="30"/>
                <w:szCs w:val="30"/>
                <w:vertAlign w:val="baseline"/>
                <w:lang w:val="en-US" w:eastAsia="zh-CN"/>
              </w:rPr>
            </w:pPr>
          </w:p>
        </w:tc>
        <w:tc>
          <w:tcPr>
            <w:tcW w:w="2524" w:type="dxa"/>
            <w:vAlign w:val="top"/>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2.8信用联合奖惩</w:t>
            </w:r>
          </w:p>
        </w:tc>
        <w:tc>
          <w:tcPr>
            <w:tcW w:w="6331" w:type="dxa"/>
            <w:vAlign w:val="top"/>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未制定标准化的行业信用承诺书并公开扣1分;未及时共享和公开行政许可和行政处罚“双公示”信息扣1分。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bl>
    <w:p>
      <w:pPr>
        <w:jc w:val="both"/>
        <w:rPr>
          <w:rFonts w:hint="eastAsia" w:ascii="仿宋_GB2312" w:hAnsi="仿宋_GB2312" w:eastAsia="仿宋_GB2312" w:cs="仿宋_GB2312"/>
          <w:sz w:val="30"/>
          <w:szCs w:val="30"/>
          <w:lang w:val="en-US" w:eastAsia="zh-CN"/>
        </w:rPr>
      </w:pPr>
    </w:p>
    <w:tbl>
      <w:tblPr>
        <w:tblStyle w:val="5"/>
        <w:tblW w:w="13820"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2513"/>
        <w:gridCol w:w="6342"/>
        <w:gridCol w:w="1645"/>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Pr>
          <w:p>
            <w:pPr>
              <w:jc w:val="center"/>
              <w:rPr>
                <w:rFonts w:hint="eastAsia"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一级指标</w:t>
            </w:r>
          </w:p>
        </w:tc>
        <w:tc>
          <w:tcPr>
            <w:tcW w:w="2513" w:type="dxa"/>
          </w:tcPr>
          <w:p>
            <w:pPr>
              <w:jc w:val="center"/>
              <w:rPr>
                <w:rFonts w:hint="eastAsia"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二级指标</w:t>
            </w:r>
          </w:p>
        </w:tc>
        <w:tc>
          <w:tcPr>
            <w:tcW w:w="6342" w:type="dxa"/>
          </w:tcPr>
          <w:p>
            <w:pPr>
              <w:jc w:val="center"/>
              <w:rPr>
                <w:rFonts w:hint="default"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考评内容及标准</w:t>
            </w:r>
          </w:p>
        </w:tc>
        <w:tc>
          <w:tcPr>
            <w:tcW w:w="1645" w:type="dxa"/>
          </w:tcPr>
          <w:p>
            <w:pPr>
              <w:jc w:val="center"/>
              <w:rPr>
                <w:rFonts w:hint="eastAsia"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责任部门</w:t>
            </w:r>
          </w:p>
        </w:tc>
        <w:tc>
          <w:tcPr>
            <w:tcW w:w="1644" w:type="dxa"/>
          </w:tcPr>
          <w:p>
            <w:pPr>
              <w:jc w:val="center"/>
              <w:rPr>
                <w:rFonts w:hint="default"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restart"/>
          </w:tcPr>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24"/>
                <w:szCs w:val="24"/>
                <w:vertAlign w:val="baseline"/>
                <w:lang w:val="en-US" w:eastAsia="zh-CN"/>
              </w:rPr>
              <w:t>2.强化工作执行</w:t>
            </w:r>
          </w:p>
        </w:tc>
        <w:tc>
          <w:tcPr>
            <w:tcW w:w="2513" w:type="dxa"/>
            <w:vMerge w:val="restart"/>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2.9提高政策质效</w:t>
            </w:r>
          </w:p>
        </w:tc>
        <w:tc>
          <w:tcPr>
            <w:tcW w:w="6342"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1.按照市政府统一要求,落实政府重大经济决策主动向企业家和行业协会商会问计求策的操作办法。不符合要求的扣2分。</w:t>
            </w:r>
          </w:p>
        </w:tc>
        <w:tc>
          <w:tcPr>
            <w:tcW w:w="1645" w:type="dxa"/>
            <w:vMerge w:val="restart"/>
          </w:tcPr>
          <w:p>
            <w:pPr>
              <w:jc w:val="both"/>
              <w:rPr>
                <w:rFonts w:hint="eastAsia" w:ascii="仿宋_GB2312" w:hAnsi="仿宋_GB2312" w:eastAsia="仿宋_GB2312" w:cs="仿宋_GB2312"/>
                <w:sz w:val="30"/>
                <w:szCs w:val="30"/>
                <w:vertAlign w:val="baseline"/>
                <w:lang w:val="en-US" w:eastAsia="zh-CN"/>
              </w:rPr>
            </w:pPr>
          </w:p>
          <w:p>
            <w:pPr>
              <w:jc w:val="both"/>
              <w:rPr>
                <w:rFonts w:hint="eastAsia" w:ascii="仿宋_GB2312" w:hAnsi="仿宋_GB2312" w:eastAsia="仿宋_GB2312" w:cs="仿宋_GB2312"/>
                <w:sz w:val="30"/>
                <w:szCs w:val="30"/>
                <w:vertAlign w:val="baseline"/>
                <w:lang w:val="en-US" w:eastAsia="zh-CN"/>
              </w:rPr>
            </w:pPr>
          </w:p>
          <w:p>
            <w:pPr>
              <w:jc w:val="both"/>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2"/>
                <w:szCs w:val="32"/>
                <w:lang w:val="en-US" w:eastAsia="zh-CN"/>
              </w:rPr>
              <w:t>各部门、乡镇（街道）</w:t>
            </w:r>
          </w:p>
        </w:tc>
        <w:tc>
          <w:tcPr>
            <w:tcW w:w="1644" w:type="dxa"/>
            <w:vMerge w:val="restart"/>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continue"/>
          </w:tcPr>
          <w:p>
            <w:pPr>
              <w:numPr>
                <w:ilvl w:val="0"/>
                <w:numId w:val="0"/>
              </w:numPr>
              <w:jc w:val="both"/>
              <w:rPr>
                <w:rFonts w:hint="eastAsia" w:ascii="仿宋_GB2312" w:hAnsi="仿宋_GB2312" w:eastAsia="仿宋_GB2312" w:cs="仿宋_GB2312"/>
                <w:b/>
                <w:bCs/>
                <w:sz w:val="24"/>
                <w:szCs w:val="24"/>
                <w:vertAlign w:val="baseline"/>
                <w:lang w:val="en-US" w:eastAsia="zh-CN"/>
              </w:rPr>
            </w:pPr>
          </w:p>
        </w:tc>
        <w:tc>
          <w:tcPr>
            <w:tcW w:w="2513" w:type="dxa"/>
            <w:vMerge w:val="continue"/>
          </w:tcPr>
          <w:p>
            <w:pPr>
              <w:jc w:val="both"/>
              <w:rPr>
                <w:rFonts w:hint="eastAsia" w:ascii="仿宋_GB2312" w:hAnsi="仿宋_GB2312" w:eastAsia="仿宋_GB2312" w:cs="仿宋_GB2312"/>
                <w:sz w:val="24"/>
                <w:szCs w:val="24"/>
                <w:vertAlign w:val="baseline"/>
                <w:lang w:val="en-US" w:eastAsia="zh-CN"/>
              </w:rPr>
            </w:pPr>
          </w:p>
        </w:tc>
        <w:tc>
          <w:tcPr>
            <w:tcW w:w="6342"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2.定期向社会公布落实政策的具体措施,接受社会监督。每有1项政策不符合要求扣1分。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continue"/>
          </w:tcPr>
          <w:p>
            <w:pPr>
              <w:numPr>
                <w:ilvl w:val="0"/>
                <w:numId w:val="0"/>
              </w:numPr>
              <w:jc w:val="both"/>
              <w:rPr>
                <w:rFonts w:hint="eastAsia" w:ascii="仿宋_GB2312" w:hAnsi="仿宋_GB2312" w:eastAsia="仿宋_GB2312" w:cs="仿宋_GB2312"/>
                <w:b/>
                <w:bCs/>
                <w:sz w:val="24"/>
                <w:szCs w:val="24"/>
                <w:vertAlign w:val="baseline"/>
                <w:lang w:val="en-US" w:eastAsia="zh-CN"/>
              </w:rPr>
            </w:pPr>
          </w:p>
        </w:tc>
        <w:tc>
          <w:tcPr>
            <w:tcW w:w="2513" w:type="dxa"/>
            <w:vMerge w:val="continue"/>
          </w:tcPr>
          <w:p>
            <w:pPr>
              <w:jc w:val="both"/>
              <w:rPr>
                <w:rFonts w:hint="eastAsia" w:ascii="仿宋_GB2312" w:hAnsi="仿宋_GB2312" w:eastAsia="仿宋_GB2312" w:cs="仿宋_GB2312"/>
                <w:sz w:val="24"/>
                <w:szCs w:val="24"/>
                <w:vertAlign w:val="baseline"/>
                <w:lang w:val="en-US" w:eastAsia="zh-CN"/>
              </w:rPr>
            </w:pPr>
          </w:p>
        </w:tc>
        <w:tc>
          <w:tcPr>
            <w:tcW w:w="6342"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3.强化政策宣传解读和舆论引导。对政策及时跟进解读,对市场主体关注的问题及时研究解决,回应关切,引导预期。未落实的,每有1项扣1分。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restart"/>
          </w:tcPr>
          <w:p>
            <w:pPr>
              <w:jc w:val="both"/>
              <w:rPr>
                <w:rFonts w:hint="eastAsia" w:ascii="仿宋_GB2312" w:hAnsi="仿宋_GB2312" w:eastAsia="仿宋_GB2312" w:cs="仿宋_GB2312"/>
                <w:b/>
                <w:bCs/>
                <w:sz w:val="24"/>
                <w:szCs w:val="24"/>
                <w:vertAlign w:val="baseline"/>
                <w:lang w:val="en-US" w:eastAsia="zh-CN"/>
              </w:rPr>
            </w:pPr>
          </w:p>
          <w:p>
            <w:pPr>
              <w:jc w:val="both"/>
              <w:rPr>
                <w:rFonts w:hint="eastAsia" w:ascii="仿宋_GB2312" w:hAnsi="仿宋_GB2312" w:eastAsia="仿宋_GB2312" w:cs="仿宋_GB2312"/>
                <w:b/>
                <w:bCs/>
                <w:sz w:val="24"/>
                <w:szCs w:val="24"/>
                <w:vertAlign w:val="baseline"/>
                <w:lang w:val="en-US" w:eastAsia="zh-CN"/>
              </w:rPr>
            </w:pPr>
          </w:p>
          <w:p>
            <w:pPr>
              <w:jc w:val="both"/>
              <w:rPr>
                <w:rFonts w:hint="eastAsia" w:ascii="仿宋_GB2312" w:hAnsi="仿宋_GB2312" w:eastAsia="仿宋_GB2312" w:cs="仿宋_GB2312"/>
                <w:b/>
                <w:bCs/>
                <w:sz w:val="24"/>
                <w:szCs w:val="24"/>
                <w:vertAlign w:val="baseline"/>
                <w:lang w:val="en-US" w:eastAsia="zh-CN"/>
              </w:rPr>
            </w:pPr>
          </w:p>
          <w:p>
            <w:pPr>
              <w:jc w:val="both"/>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b/>
                <w:bCs/>
                <w:sz w:val="24"/>
                <w:szCs w:val="24"/>
                <w:vertAlign w:val="baseline"/>
                <w:lang w:val="en-US" w:eastAsia="zh-CN"/>
              </w:rPr>
              <w:t>3.推进工作执行</w:t>
            </w:r>
          </w:p>
        </w:tc>
        <w:tc>
          <w:tcPr>
            <w:tcW w:w="2513"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3.1通报工作进展</w:t>
            </w:r>
          </w:p>
        </w:tc>
        <w:tc>
          <w:tcPr>
            <w:tcW w:w="6342"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每季度前5个工作日内,将上季度重点工作任务推进落实情况报省软环境建设办公室。要做到内容详实、数据准确、措施具体、部署清晰,没有按时上报或质量不符合要求的,每次扣2分。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continue"/>
          </w:tcPr>
          <w:p>
            <w:pPr>
              <w:jc w:val="both"/>
              <w:rPr>
                <w:rFonts w:hint="eastAsia" w:ascii="仿宋_GB2312" w:hAnsi="仿宋_GB2312" w:eastAsia="仿宋_GB2312" w:cs="仿宋_GB2312"/>
                <w:sz w:val="30"/>
                <w:szCs w:val="30"/>
                <w:vertAlign w:val="baseline"/>
                <w:lang w:val="en-US" w:eastAsia="zh-CN"/>
              </w:rPr>
            </w:pPr>
          </w:p>
        </w:tc>
        <w:tc>
          <w:tcPr>
            <w:tcW w:w="2513"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3.2落实交办、督办事项</w:t>
            </w:r>
          </w:p>
        </w:tc>
        <w:tc>
          <w:tcPr>
            <w:tcW w:w="6342"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市软环境建设办公室交办、督办事项及明察暗访结论意见及时办理、报结。办理、报结不及时,每件扣0.5分;事实没有查清、纠正处理不到位上报情况不实,每件扣1分;对投诉查实的当事人和有关责任人应予追究而未进行责任追究的,每件扣2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bl>
    <w:p>
      <w:pPr>
        <w:jc w:val="center"/>
        <w:rPr>
          <w:rFonts w:hint="eastAsia" w:ascii="仿宋_GB2312" w:hAnsi="仿宋_GB2312" w:eastAsia="仿宋_GB2312" w:cs="仿宋_GB2312"/>
          <w:sz w:val="30"/>
          <w:szCs w:val="30"/>
          <w:lang w:val="en-US" w:eastAsia="zh-CN"/>
        </w:rPr>
      </w:pPr>
    </w:p>
    <w:p>
      <w:pPr>
        <w:jc w:val="center"/>
        <w:rPr>
          <w:rFonts w:hint="eastAsia" w:ascii="仿宋_GB2312" w:hAnsi="仿宋_GB2312" w:eastAsia="仿宋_GB2312" w:cs="仿宋_GB2312"/>
          <w:sz w:val="30"/>
          <w:szCs w:val="30"/>
          <w:lang w:val="en-US" w:eastAsia="zh-CN"/>
        </w:rPr>
      </w:pPr>
    </w:p>
    <w:tbl>
      <w:tblPr>
        <w:tblStyle w:val="5"/>
        <w:tblW w:w="13820"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2524"/>
        <w:gridCol w:w="6331"/>
        <w:gridCol w:w="1645"/>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Pr>
          <w:p>
            <w:pPr>
              <w:jc w:val="center"/>
              <w:rPr>
                <w:rFonts w:hint="eastAsia"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一级指标</w:t>
            </w:r>
          </w:p>
        </w:tc>
        <w:tc>
          <w:tcPr>
            <w:tcW w:w="2524" w:type="dxa"/>
          </w:tcPr>
          <w:p>
            <w:pPr>
              <w:jc w:val="center"/>
              <w:rPr>
                <w:rFonts w:hint="eastAsia"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二级指标</w:t>
            </w:r>
          </w:p>
        </w:tc>
        <w:tc>
          <w:tcPr>
            <w:tcW w:w="6331" w:type="dxa"/>
          </w:tcPr>
          <w:p>
            <w:pPr>
              <w:jc w:val="center"/>
              <w:rPr>
                <w:rFonts w:hint="default"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考评内容及标准</w:t>
            </w:r>
          </w:p>
        </w:tc>
        <w:tc>
          <w:tcPr>
            <w:tcW w:w="1645" w:type="dxa"/>
          </w:tcPr>
          <w:p>
            <w:pPr>
              <w:jc w:val="center"/>
              <w:rPr>
                <w:rFonts w:hint="eastAsia"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责任部门</w:t>
            </w:r>
          </w:p>
        </w:tc>
        <w:tc>
          <w:tcPr>
            <w:tcW w:w="1644" w:type="dxa"/>
          </w:tcPr>
          <w:p>
            <w:pPr>
              <w:jc w:val="center"/>
              <w:rPr>
                <w:rFonts w:hint="default" w:ascii="楷体_GB2312" w:hAnsi="楷体_GB2312" w:eastAsia="楷体_GB2312" w:cs="楷体_GB2312"/>
                <w:b/>
                <w:bCs/>
                <w:sz w:val="30"/>
                <w:szCs w:val="30"/>
                <w:vertAlign w:val="baseline"/>
                <w:lang w:val="en-US" w:eastAsia="zh-CN"/>
              </w:rPr>
            </w:pPr>
            <w:r>
              <w:rPr>
                <w:rFonts w:hint="eastAsia" w:ascii="楷体_GB2312" w:hAnsi="楷体_GB2312" w:eastAsia="楷体_GB2312" w:cs="楷体_GB2312"/>
                <w:b/>
                <w:bCs/>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0" w:type="dxa"/>
            <w:gridSpan w:val="5"/>
          </w:tcPr>
          <w:p>
            <w:pPr>
              <w:jc w:val="cente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服务对象及社会评议（3</w:t>
            </w:r>
            <w:r>
              <w:rPr>
                <w:rFonts w:hint="eastAsia" w:ascii="仿宋_GB2312" w:hAnsi="仿宋_GB2312" w:eastAsia="仿宋_GB2312" w:cs="仿宋_GB2312"/>
                <w:b/>
                <w:bCs/>
                <w:sz w:val="28"/>
                <w:szCs w:val="28"/>
                <w:lang w:val="en-US" w:eastAsia="zh-CN"/>
              </w:rPr>
              <w:t>个一级指标，4个二级指标</w:t>
            </w:r>
            <w:r>
              <w:rPr>
                <w:rFonts w:hint="eastAsia" w:ascii="仿宋_GB2312" w:hAnsi="仿宋_GB2312" w:eastAsia="仿宋_GB2312" w:cs="仿宋_GB2312"/>
                <w:b/>
                <w:bCs/>
                <w:sz w:val="30"/>
                <w:szCs w:val="30"/>
                <w:vertAlign w:val="baseline"/>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Pr>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24"/>
                <w:szCs w:val="24"/>
                <w:vertAlign w:val="baseline"/>
                <w:lang w:val="en-US" w:eastAsia="zh-CN"/>
              </w:rPr>
              <w:t>4.代表、委员评议</w:t>
            </w:r>
          </w:p>
        </w:tc>
        <w:tc>
          <w:tcPr>
            <w:tcW w:w="2524"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4.1邀请市人大代表、市政协委员对市直部门(单位)营商环境建设工作进行评估</w:t>
            </w:r>
          </w:p>
        </w:tc>
        <w:tc>
          <w:tcPr>
            <w:tcW w:w="6331"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邀请市人大代表、市政协委员对参评单位营商环境建设工作成效进行评议,满分5分,最终得分取平均值。</w:t>
            </w:r>
          </w:p>
        </w:tc>
        <w:tc>
          <w:tcPr>
            <w:tcW w:w="1645" w:type="dxa"/>
            <w:vMerge w:val="restart"/>
          </w:tcPr>
          <w:p>
            <w:pPr>
              <w:jc w:val="both"/>
              <w:rPr>
                <w:rFonts w:hint="eastAsia" w:ascii="仿宋_GB2312" w:hAnsi="仿宋_GB2312" w:eastAsia="仿宋_GB2312" w:cs="仿宋_GB2312"/>
                <w:sz w:val="30"/>
                <w:szCs w:val="30"/>
                <w:vertAlign w:val="baseline"/>
                <w:lang w:val="en-US" w:eastAsia="zh-CN"/>
              </w:rPr>
            </w:pPr>
          </w:p>
          <w:p>
            <w:pPr>
              <w:jc w:val="both"/>
              <w:rPr>
                <w:rFonts w:hint="eastAsia"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2"/>
                <w:szCs w:val="32"/>
                <w:lang w:val="en-US" w:eastAsia="zh-CN"/>
              </w:rPr>
              <w:t>各部门、乡镇（街道）</w:t>
            </w:r>
          </w:p>
        </w:tc>
        <w:tc>
          <w:tcPr>
            <w:tcW w:w="1644" w:type="dxa"/>
            <w:vMerge w:val="restart"/>
          </w:tcPr>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Pr>
          <w:p>
            <w:pPr>
              <w:numPr>
                <w:ilvl w:val="0"/>
                <w:numId w:val="0"/>
              </w:numPr>
              <w:jc w:val="both"/>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24"/>
                <w:szCs w:val="24"/>
                <w:vertAlign w:val="baseline"/>
                <w:lang w:val="en-US" w:eastAsia="zh-CN"/>
              </w:rPr>
              <w:t>5.地方评议</w:t>
            </w:r>
          </w:p>
        </w:tc>
        <w:tc>
          <w:tcPr>
            <w:tcW w:w="2524"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5.1协调配合政府评议市直部门(单位)营商环境建设工作</w:t>
            </w:r>
          </w:p>
        </w:tc>
        <w:tc>
          <w:tcPr>
            <w:tcW w:w="6331" w:type="dxa"/>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协调配合政府对参评单位营商环境建设工作成效进行评议,满分5分,最终得分取平均值。</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676" w:type="dxa"/>
          </w:tcPr>
          <w:p>
            <w:pPr>
              <w:numPr>
                <w:ilvl w:val="0"/>
                <w:numId w:val="0"/>
              </w:numPr>
              <w:jc w:val="both"/>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6.企业评议</w:t>
            </w:r>
          </w:p>
          <w:p>
            <w:pPr>
              <w:jc w:val="both"/>
              <w:rPr>
                <w:rFonts w:hint="eastAsia" w:ascii="仿宋_GB2312" w:hAnsi="仿宋_GB2312" w:eastAsia="仿宋_GB2312" w:cs="仿宋_GB2312"/>
                <w:b/>
                <w:bCs/>
                <w:sz w:val="30"/>
                <w:szCs w:val="30"/>
                <w:vertAlign w:val="baseline"/>
                <w:lang w:val="en-US" w:eastAsia="zh-CN"/>
              </w:rPr>
            </w:pPr>
          </w:p>
        </w:tc>
        <w:tc>
          <w:tcPr>
            <w:tcW w:w="2524"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6.1组织企业评议市直有关部门营商环境建设工作</w:t>
            </w:r>
          </w:p>
        </w:tc>
        <w:tc>
          <w:tcPr>
            <w:tcW w:w="6331"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组织国有企业、民营企业、外资企业、股份制企业以及个体工商业户等,对参评单位营商环境建设工作成效进行评议,满分5分,最终得分取平均值。</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676" w:type="dxa"/>
          </w:tcPr>
          <w:p>
            <w:pPr>
              <w:jc w:val="both"/>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7.监督员评议</w:t>
            </w:r>
          </w:p>
        </w:tc>
        <w:tc>
          <w:tcPr>
            <w:tcW w:w="2524"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7.1组织软环境监督员评议市直有关部门营商环境建设工作</w:t>
            </w:r>
          </w:p>
        </w:tc>
        <w:tc>
          <w:tcPr>
            <w:tcW w:w="6331" w:type="dxa"/>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组织二十名软环境监督员对参评单位营商环境建设工作成效进行评议，满分5分，最终得分取平均值。</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0" w:type="dxa"/>
            <w:gridSpan w:val="5"/>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创新提升影响力（3</w:t>
            </w:r>
            <w:r>
              <w:rPr>
                <w:rFonts w:hint="eastAsia" w:ascii="仿宋_GB2312" w:hAnsi="仿宋_GB2312" w:eastAsia="仿宋_GB2312" w:cs="仿宋_GB2312"/>
                <w:b/>
                <w:bCs/>
                <w:sz w:val="28"/>
                <w:szCs w:val="28"/>
                <w:lang w:val="en-US" w:eastAsia="zh-CN"/>
              </w:rPr>
              <w:t>个一级指标，6个二级指标</w:t>
            </w:r>
            <w:r>
              <w:rPr>
                <w:rFonts w:hint="eastAsia" w:ascii="仿宋_GB2312" w:hAnsi="仿宋_GB2312" w:eastAsia="仿宋_GB2312" w:cs="仿宋_GB2312"/>
                <w:b/>
                <w:bCs/>
                <w:sz w:val="30"/>
                <w:szCs w:val="30"/>
                <w:vertAlign w:val="baseline"/>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restart"/>
            <w:vAlign w:val="top"/>
          </w:tcPr>
          <w:p>
            <w:pPr>
              <w:numPr>
                <w:ilvl w:val="0"/>
                <w:numId w:val="0"/>
              </w:numPr>
              <w:ind w:left="0" w:leftChars="0" w:firstLine="0" w:firstLineChars="0"/>
              <w:jc w:val="both"/>
              <w:rPr>
                <w:rFonts w:hint="eastAsia" w:ascii="仿宋_GB2312" w:hAnsi="仿宋_GB2312" w:eastAsia="仿宋_GB2312" w:cs="仿宋_GB2312"/>
                <w:b/>
                <w:bCs/>
                <w:sz w:val="24"/>
                <w:szCs w:val="24"/>
                <w:vertAlign w:val="baseline"/>
                <w:lang w:val="en-US" w:eastAsia="zh-CN"/>
              </w:rPr>
            </w:pPr>
          </w:p>
          <w:p>
            <w:pPr>
              <w:numPr>
                <w:ilvl w:val="0"/>
                <w:numId w:val="0"/>
              </w:numPr>
              <w:ind w:left="0" w:leftChars="0" w:firstLine="0" w:firstLineChars="0"/>
              <w:jc w:val="both"/>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b/>
                <w:bCs/>
                <w:sz w:val="24"/>
                <w:szCs w:val="24"/>
                <w:vertAlign w:val="baseline"/>
                <w:lang w:val="en-US" w:eastAsia="zh-CN"/>
              </w:rPr>
              <w:t>7.工作创新</w:t>
            </w:r>
          </w:p>
        </w:tc>
        <w:tc>
          <w:tcPr>
            <w:tcW w:w="2524" w:type="dxa"/>
            <w:vAlign w:val="top"/>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7.1学习复制推广先进经验做法</w:t>
            </w:r>
          </w:p>
        </w:tc>
        <w:tc>
          <w:tcPr>
            <w:tcW w:w="6331" w:type="dxa"/>
            <w:vAlign w:val="top"/>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学习复制推广国务院大督查发现的部分涉及“放管服”改革和营商环境建设的典型经验做法,每有一项加1分。</w:t>
            </w:r>
          </w:p>
        </w:tc>
        <w:tc>
          <w:tcPr>
            <w:tcW w:w="1645" w:type="dxa"/>
            <w:vMerge w:val="restart"/>
          </w:tcPr>
          <w:p>
            <w:pPr>
              <w:jc w:val="both"/>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2"/>
                <w:szCs w:val="32"/>
                <w:lang w:val="en-US" w:eastAsia="zh-CN"/>
              </w:rPr>
              <w:t>各部门、乡镇（街道）</w:t>
            </w:r>
          </w:p>
        </w:tc>
        <w:tc>
          <w:tcPr>
            <w:tcW w:w="1644" w:type="dxa"/>
            <w:vMerge w:val="restart"/>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continue"/>
            <w:vAlign w:val="top"/>
          </w:tcPr>
          <w:p>
            <w:pPr>
              <w:numPr>
                <w:ilvl w:val="0"/>
                <w:numId w:val="0"/>
              </w:numPr>
              <w:ind w:left="0" w:leftChars="0" w:firstLine="0" w:firstLineChars="0"/>
              <w:jc w:val="both"/>
              <w:rPr>
                <w:rFonts w:hint="eastAsia" w:ascii="仿宋_GB2312" w:hAnsi="仿宋_GB2312" w:eastAsia="仿宋_GB2312" w:cs="仿宋_GB2312"/>
                <w:sz w:val="30"/>
                <w:szCs w:val="30"/>
                <w:vertAlign w:val="baseline"/>
                <w:lang w:val="en-US" w:eastAsia="zh-CN"/>
              </w:rPr>
            </w:pPr>
          </w:p>
        </w:tc>
        <w:tc>
          <w:tcPr>
            <w:tcW w:w="2524" w:type="dxa"/>
            <w:vAlign w:val="top"/>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7.2研究“一招鲜”工作举措</w:t>
            </w:r>
          </w:p>
        </w:tc>
        <w:tc>
          <w:tcPr>
            <w:tcW w:w="6331" w:type="dxa"/>
            <w:vAlign w:val="top"/>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突出特点特色,研究“一招鲜”改革举措,每有1项加1分。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top"/>
          </w:tcPr>
          <w:p>
            <w:pPr>
              <w:numPr>
                <w:ilvl w:val="0"/>
                <w:numId w:val="0"/>
              </w:numPr>
              <w:ind w:left="0" w:leftChars="0" w:firstLine="0" w:firstLineChars="0"/>
              <w:jc w:val="both"/>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b/>
                <w:bCs/>
                <w:sz w:val="24"/>
                <w:szCs w:val="24"/>
                <w:vertAlign w:val="baseline"/>
                <w:lang w:val="en-US" w:eastAsia="zh-CN"/>
              </w:rPr>
              <w:t>8.上级肯定</w:t>
            </w:r>
          </w:p>
        </w:tc>
        <w:tc>
          <w:tcPr>
            <w:tcW w:w="2524" w:type="dxa"/>
            <w:vAlign w:val="top"/>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8.1通报表扬</w:t>
            </w:r>
          </w:p>
        </w:tc>
        <w:tc>
          <w:tcPr>
            <w:tcW w:w="6331" w:type="dxa"/>
            <w:vAlign w:val="top"/>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被省委、省政府通报表扬的,加2分/次。被白城市委、市政府通报表扬的,加1分/次。</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bl>
    <w:p/>
    <w:tbl>
      <w:tblPr>
        <w:tblStyle w:val="5"/>
        <w:tblpPr w:leftFromText="180" w:rightFromText="180" w:vertAnchor="text" w:tblpX="15506" w:tblpY="-6249"/>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jc w:val="both"/>
              <w:rPr>
                <w:vertAlign w:val="baseline"/>
              </w:rPr>
            </w:pPr>
          </w:p>
        </w:tc>
      </w:tr>
    </w:tbl>
    <w:p>
      <w:pPr>
        <w:jc w:val="both"/>
      </w:pPr>
    </w:p>
    <w:tbl>
      <w:tblPr>
        <w:tblStyle w:val="5"/>
        <w:tblW w:w="13820"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2513"/>
        <w:gridCol w:w="6342"/>
        <w:gridCol w:w="1645"/>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restart"/>
          </w:tcPr>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default"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24"/>
                <w:szCs w:val="24"/>
                <w:vertAlign w:val="baseline"/>
                <w:lang w:val="en-US" w:eastAsia="zh-CN"/>
              </w:rPr>
              <w:t>9.获得推广</w:t>
            </w:r>
          </w:p>
        </w:tc>
        <w:tc>
          <w:tcPr>
            <w:tcW w:w="2513" w:type="dxa"/>
            <w:vAlign w:val="top"/>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9.1媒体宣传</w:t>
            </w:r>
          </w:p>
        </w:tc>
        <w:tc>
          <w:tcPr>
            <w:tcW w:w="6342" w:type="dxa"/>
            <w:vAlign w:val="top"/>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相关经验做被国家级媒体宣传报道的，加1分/次。省级媒体宣传报道按播发条数排序，前10名的依次加2、1.8、1.6、1.4、1.2、1.、0.8、0.6、0.4、0、2分。</w:t>
            </w:r>
          </w:p>
        </w:tc>
        <w:tc>
          <w:tcPr>
            <w:tcW w:w="1645" w:type="dxa"/>
            <w:vMerge w:val="restart"/>
          </w:tcPr>
          <w:p>
            <w:pPr>
              <w:jc w:val="both"/>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2"/>
                <w:szCs w:val="32"/>
                <w:lang w:val="en-US" w:eastAsia="zh-CN"/>
              </w:rPr>
              <w:t>各部门、乡镇（街道）</w:t>
            </w:r>
          </w:p>
        </w:tc>
        <w:tc>
          <w:tcPr>
            <w:tcW w:w="1644" w:type="dxa"/>
            <w:vMerge w:val="restart"/>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Merge w:val="continue"/>
          </w:tcPr>
          <w:p>
            <w:pPr>
              <w:numPr>
                <w:ilvl w:val="0"/>
                <w:numId w:val="0"/>
              </w:numPr>
              <w:jc w:val="both"/>
              <w:rPr>
                <w:rFonts w:hint="eastAsia" w:ascii="仿宋_GB2312" w:hAnsi="仿宋_GB2312" w:eastAsia="仿宋_GB2312" w:cs="仿宋_GB2312"/>
                <w:b/>
                <w:bCs/>
                <w:sz w:val="24"/>
                <w:szCs w:val="24"/>
                <w:vertAlign w:val="baseline"/>
                <w:lang w:val="en-US" w:eastAsia="zh-CN"/>
              </w:rPr>
            </w:pPr>
          </w:p>
        </w:tc>
        <w:tc>
          <w:tcPr>
            <w:tcW w:w="2513" w:type="dxa"/>
            <w:vAlign w:val="top"/>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9.2简报刊发</w:t>
            </w:r>
          </w:p>
        </w:tc>
        <w:tc>
          <w:tcPr>
            <w:tcW w:w="6342" w:type="dxa"/>
            <w:vAlign w:val="top"/>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报送优化营商环境工作信息，被省软环境办采用，编写专报的，每次加1分/项。</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676" w:type="dxa"/>
            <w:vMerge w:val="continue"/>
          </w:tcPr>
          <w:p>
            <w:pPr>
              <w:numPr>
                <w:ilvl w:val="0"/>
                <w:numId w:val="0"/>
              </w:numPr>
              <w:jc w:val="both"/>
              <w:rPr>
                <w:rFonts w:hint="eastAsia" w:ascii="仿宋_GB2312" w:hAnsi="仿宋_GB2312" w:eastAsia="仿宋_GB2312" w:cs="仿宋_GB2312"/>
                <w:b/>
                <w:bCs/>
                <w:sz w:val="24"/>
                <w:szCs w:val="24"/>
                <w:vertAlign w:val="baseline"/>
                <w:lang w:val="en-US" w:eastAsia="zh-CN"/>
              </w:rPr>
            </w:pPr>
          </w:p>
        </w:tc>
        <w:tc>
          <w:tcPr>
            <w:tcW w:w="2513" w:type="dxa"/>
            <w:vAlign w:val="top"/>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9.3全省推广</w:t>
            </w:r>
          </w:p>
        </w:tc>
        <w:tc>
          <w:tcPr>
            <w:tcW w:w="6342" w:type="dxa"/>
            <w:vAlign w:val="top"/>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在全省软环境建设相关会议上作经验介绍的，加1分/项。</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3820" w:type="dxa"/>
            <w:gridSpan w:val="5"/>
          </w:tcPr>
          <w:p>
            <w:pPr>
              <w:ind w:firstLine="3313" w:firstLineChars="1100"/>
              <w:jc w:val="both"/>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营商环境协同力（2</w:t>
            </w:r>
            <w:r>
              <w:rPr>
                <w:rFonts w:hint="eastAsia" w:ascii="仿宋_GB2312" w:hAnsi="仿宋_GB2312" w:eastAsia="仿宋_GB2312" w:cs="仿宋_GB2312"/>
                <w:b/>
                <w:bCs/>
                <w:sz w:val="28"/>
                <w:szCs w:val="28"/>
                <w:lang w:val="en-US" w:eastAsia="zh-CN"/>
              </w:rPr>
              <w:t>个一级指标，6个二级指标</w:t>
            </w:r>
            <w:r>
              <w:rPr>
                <w:rFonts w:hint="eastAsia" w:ascii="仿宋_GB2312" w:hAnsi="仿宋_GB2312" w:eastAsia="仿宋_GB2312" w:cs="仿宋_GB2312"/>
                <w:b/>
                <w:bCs/>
                <w:sz w:val="30"/>
                <w:szCs w:val="30"/>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76" w:type="dxa"/>
            <w:vMerge w:val="restart"/>
          </w:tcPr>
          <w:p>
            <w:pPr>
              <w:numPr>
                <w:ilvl w:val="0"/>
                <w:numId w:val="0"/>
              </w:numPr>
              <w:jc w:val="left"/>
              <w:rPr>
                <w:rFonts w:hint="eastAsia" w:ascii="仿宋_GB2312" w:hAnsi="仿宋_GB2312" w:eastAsia="仿宋_GB2312" w:cs="仿宋_GB2312"/>
                <w:b/>
                <w:bCs/>
                <w:sz w:val="24"/>
                <w:szCs w:val="24"/>
                <w:vertAlign w:val="baseline"/>
                <w:lang w:val="en-US" w:eastAsia="zh-CN"/>
              </w:rPr>
            </w:pPr>
          </w:p>
          <w:p>
            <w:pPr>
              <w:numPr>
                <w:ilvl w:val="0"/>
                <w:numId w:val="0"/>
              </w:numPr>
              <w:jc w:val="left"/>
              <w:rPr>
                <w:rFonts w:hint="eastAsia" w:ascii="仿宋_GB2312" w:hAnsi="仿宋_GB2312" w:eastAsia="仿宋_GB2312" w:cs="仿宋_GB2312"/>
                <w:b/>
                <w:bCs/>
                <w:sz w:val="24"/>
                <w:szCs w:val="24"/>
                <w:vertAlign w:val="baseline"/>
                <w:lang w:val="en-US" w:eastAsia="zh-CN"/>
              </w:rPr>
            </w:pPr>
          </w:p>
          <w:p>
            <w:pPr>
              <w:numPr>
                <w:ilvl w:val="0"/>
                <w:numId w:val="0"/>
              </w:numPr>
              <w:jc w:val="left"/>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10.创新监管</w:t>
            </w:r>
          </w:p>
        </w:tc>
        <w:tc>
          <w:tcPr>
            <w:tcW w:w="2513" w:type="dxa"/>
            <w:vAlign w:val="top"/>
          </w:tcPr>
          <w:p>
            <w:pPr>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10.1明确任务要求</w:t>
            </w:r>
          </w:p>
        </w:tc>
        <w:tc>
          <w:tcPr>
            <w:tcW w:w="6342"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年度政府工作报告中对优化营商环境工作,目标任务明确、办法举措着实、责任时限清晰,不符合要求的,每少一项内容扣2分。</w:t>
            </w:r>
          </w:p>
        </w:tc>
        <w:tc>
          <w:tcPr>
            <w:tcW w:w="1645" w:type="dxa"/>
            <w:vMerge w:val="restart"/>
          </w:tcPr>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2"/>
                <w:szCs w:val="32"/>
                <w:lang w:val="en-US" w:eastAsia="zh-CN"/>
              </w:rPr>
              <w:t>各部门、乡镇（街道）</w:t>
            </w:r>
          </w:p>
        </w:tc>
        <w:tc>
          <w:tcPr>
            <w:tcW w:w="1644" w:type="dxa"/>
            <w:vMerge w:val="restart"/>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6" w:type="dxa"/>
            <w:vMerge w:val="continue"/>
          </w:tcPr>
          <w:p>
            <w:pPr>
              <w:numPr>
                <w:ilvl w:val="0"/>
                <w:numId w:val="0"/>
              </w:numPr>
              <w:jc w:val="both"/>
              <w:rPr>
                <w:rFonts w:hint="eastAsia" w:ascii="仿宋_GB2312" w:hAnsi="仿宋_GB2312" w:eastAsia="仿宋_GB2312" w:cs="仿宋_GB2312"/>
                <w:b/>
                <w:bCs/>
                <w:sz w:val="24"/>
                <w:szCs w:val="24"/>
                <w:vertAlign w:val="baseline"/>
                <w:lang w:val="en-US" w:eastAsia="zh-CN"/>
              </w:rPr>
            </w:pPr>
          </w:p>
        </w:tc>
        <w:tc>
          <w:tcPr>
            <w:tcW w:w="2513"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10.2落实相关制度</w:t>
            </w:r>
          </w:p>
        </w:tc>
        <w:tc>
          <w:tcPr>
            <w:tcW w:w="6342"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年度内至少发出一次软环境建设工作警示,未发出警示的扣2分。年度内被市软环境办警示、通报批评、告诫的,分别扣1分/件次、2分/件次、3分/件次。未按要求进行纠正、处理、整改的,扣2分/件次。</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76" w:type="dxa"/>
            <w:vMerge w:val="continue"/>
          </w:tcPr>
          <w:p>
            <w:pPr>
              <w:numPr>
                <w:ilvl w:val="0"/>
                <w:numId w:val="0"/>
              </w:numPr>
              <w:jc w:val="both"/>
              <w:rPr>
                <w:rFonts w:hint="eastAsia" w:ascii="仿宋_GB2312" w:hAnsi="仿宋_GB2312" w:eastAsia="仿宋_GB2312" w:cs="仿宋_GB2312"/>
                <w:b/>
                <w:bCs/>
                <w:sz w:val="24"/>
                <w:szCs w:val="24"/>
                <w:vertAlign w:val="baseline"/>
                <w:lang w:val="en-US" w:eastAsia="zh-CN"/>
              </w:rPr>
            </w:pPr>
          </w:p>
        </w:tc>
        <w:tc>
          <w:tcPr>
            <w:tcW w:w="2513"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10.3投诉举报受理</w:t>
            </w:r>
          </w:p>
        </w:tc>
        <w:tc>
          <w:tcPr>
            <w:tcW w:w="6342"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没有企业和群众软环境方面来电、来信(含网络)、来访受理、处理记录的,扣0.5分/件次。因没有及时妥善处理投诉举报而导致越级投诉的,扣1分/件次。发生集体上访事件的,30人以下扣2分,30人以上扣3分。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76" w:type="dxa"/>
            <w:vMerge w:val="restart"/>
          </w:tcPr>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11.信用建设</w:t>
            </w:r>
          </w:p>
        </w:tc>
        <w:tc>
          <w:tcPr>
            <w:tcW w:w="2513"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11.1通报工作进展</w:t>
            </w:r>
          </w:p>
        </w:tc>
        <w:tc>
          <w:tcPr>
            <w:tcW w:w="6342"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每季度前5个工作日内,将上季度重点工作任务推进落实情况报市软环境建设办公室。要做到内容详实数据准确、措施具体、部署清晰,没有按时上报或质量不符合要求的,每次扣2分。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76" w:type="dxa"/>
            <w:vMerge w:val="continue"/>
          </w:tcPr>
          <w:p>
            <w:pPr>
              <w:numPr>
                <w:ilvl w:val="0"/>
                <w:numId w:val="0"/>
              </w:numPr>
              <w:jc w:val="both"/>
              <w:rPr>
                <w:rFonts w:hint="eastAsia" w:ascii="仿宋_GB2312" w:hAnsi="仿宋_GB2312" w:eastAsia="仿宋_GB2312" w:cs="仿宋_GB2312"/>
                <w:b/>
                <w:bCs/>
                <w:sz w:val="24"/>
                <w:szCs w:val="24"/>
                <w:vertAlign w:val="baseline"/>
                <w:lang w:val="en-US" w:eastAsia="zh-CN"/>
              </w:rPr>
            </w:pPr>
          </w:p>
        </w:tc>
        <w:tc>
          <w:tcPr>
            <w:tcW w:w="2513"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11.2落实交办督办事项</w:t>
            </w:r>
          </w:p>
        </w:tc>
        <w:tc>
          <w:tcPr>
            <w:tcW w:w="6342"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市软环境建设办公室交办、督办事项及明察暗访结论意见及时办理、报结。办理、报结不及时,每件扣0.5分;事实没有查清、纠正处理不到位、上报情况不实,每件扣1分;对投诉查实的当事人和有关责任人应予追究而未进行责任追究的,每件扣2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76" w:type="dxa"/>
            <w:vMerge w:val="continue"/>
          </w:tcPr>
          <w:p>
            <w:pPr>
              <w:numPr>
                <w:ilvl w:val="0"/>
                <w:numId w:val="0"/>
              </w:numPr>
              <w:jc w:val="both"/>
              <w:rPr>
                <w:rFonts w:hint="eastAsia" w:ascii="仿宋_GB2312" w:hAnsi="仿宋_GB2312" w:eastAsia="仿宋_GB2312" w:cs="仿宋_GB2312"/>
                <w:b/>
                <w:bCs/>
                <w:sz w:val="24"/>
                <w:szCs w:val="24"/>
                <w:vertAlign w:val="baseline"/>
                <w:lang w:val="en-US" w:eastAsia="zh-CN"/>
              </w:rPr>
            </w:pPr>
          </w:p>
        </w:tc>
        <w:tc>
          <w:tcPr>
            <w:tcW w:w="2513"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11.3推进《吉林省优化营商环境条例》落实</w:t>
            </w:r>
          </w:p>
        </w:tc>
        <w:tc>
          <w:tcPr>
            <w:tcW w:w="6342"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组织开展《吉林省优化营商环境条例》的学习、宣传、贯彻工作,未按要求开展的扣1分,没有开展的扣2分。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20" w:type="dxa"/>
            <w:gridSpan w:val="5"/>
          </w:tcPr>
          <w:p>
            <w:pPr>
              <w:ind w:firstLine="3915" w:firstLineChars="1300"/>
              <w:jc w:val="both"/>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营商环境影响力（2</w:t>
            </w:r>
            <w:r>
              <w:rPr>
                <w:rFonts w:hint="eastAsia" w:ascii="仿宋_GB2312" w:hAnsi="仿宋_GB2312" w:eastAsia="仿宋_GB2312" w:cs="仿宋_GB2312"/>
                <w:b/>
                <w:bCs/>
                <w:sz w:val="28"/>
                <w:szCs w:val="28"/>
                <w:lang w:val="en-US" w:eastAsia="zh-CN"/>
              </w:rPr>
              <w:t>个一级指标，4个二级指标</w:t>
            </w:r>
            <w:r>
              <w:rPr>
                <w:rFonts w:hint="eastAsia" w:ascii="仿宋_GB2312" w:hAnsi="仿宋_GB2312" w:eastAsia="仿宋_GB2312" w:cs="仿宋_GB2312"/>
                <w:b/>
                <w:bCs/>
                <w:sz w:val="30"/>
                <w:szCs w:val="30"/>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76" w:type="dxa"/>
            <w:vAlign w:val="top"/>
          </w:tcPr>
          <w:p>
            <w:pPr>
              <w:jc w:val="left"/>
              <w:rPr>
                <w:rFonts w:hint="eastAsia" w:ascii="仿宋_GB2312" w:hAnsi="仿宋_GB2312" w:eastAsia="仿宋_GB2312" w:cs="仿宋_GB2312"/>
                <w:b/>
                <w:bCs/>
                <w:sz w:val="24"/>
                <w:szCs w:val="24"/>
                <w:vertAlign w:val="baseline"/>
                <w:lang w:val="en-US" w:eastAsia="zh-CN"/>
              </w:rPr>
            </w:pPr>
          </w:p>
          <w:p>
            <w:pPr>
              <w:numPr>
                <w:ilvl w:val="0"/>
                <w:numId w:val="0"/>
              </w:numPr>
              <w:ind w:left="0" w:leftChars="0" w:firstLine="0" w:firstLineChars="0"/>
              <w:jc w:val="left"/>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12.创新监管</w:t>
            </w:r>
          </w:p>
        </w:tc>
        <w:tc>
          <w:tcPr>
            <w:tcW w:w="2513"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12.1通报表扬</w:t>
            </w:r>
          </w:p>
        </w:tc>
        <w:tc>
          <w:tcPr>
            <w:tcW w:w="6342"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被党中央、国务院及省通报表扬的,加2分/次;被白城市委市政府通报表扬的,加1分/次。</w:t>
            </w:r>
          </w:p>
        </w:tc>
        <w:tc>
          <w:tcPr>
            <w:tcW w:w="1645" w:type="dxa"/>
            <w:vMerge w:val="restart"/>
          </w:tcPr>
          <w:p>
            <w:pPr>
              <w:jc w:val="both"/>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2"/>
                <w:szCs w:val="32"/>
                <w:lang w:val="en-US" w:eastAsia="zh-CN"/>
              </w:rPr>
              <w:t>各部门、乡镇（街道）</w:t>
            </w:r>
          </w:p>
        </w:tc>
        <w:tc>
          <w:tcPr>
            <w:tcW w:w="1644" w:type="dxa"/>
            <w:vMerge w:val="restart"/>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76" w:type="dxa"/>
            <w:vMerge w:val="restart"/>
          </w:tcPr>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eastAsia" w:ascii="仿宋_GB2312" w:hAnsi="仿宋_GB2312" w:eastAsia="仿宋_GB2312" w:cs="仿宋_GB2312"/>
                <w:b/>
                <w:bCs/>
                <w:sz w:val="24"/>
                <w:szCs w:val="24"/>
                <w:vertAlign w:val="baseline"/>
                <w:lang w:val="en-US" w:eastAsia="zh-CN"/>
              </w:rPr>
            </w:pPr>
          </w:p>
          <w:p>
            <w:pPr>
              <w:numPr>
                <w:ilvl w:val="0"/>
                <w:numId w:val="0"/>
              </w:numPr>
              <w:jc w:val="both"/>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13.获得推广</w:t>
            </w:r>
          </w:p>
        </w:tc>
        <w:tc>
          <w:tcPr>
            <w:tcW w:w="2513"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13.1媒体宣传</w:t>
            </w:r>
          </w:p>
        </w:tc>
        <w:tc>
          <w:tcPr>
            <w:tcW w:w="6342"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相关经验做法被国家级媒体宣传报道的,加1分/次。省直媒体宣传报道按播发条数排序,前5名的依次加2、1.6、1.2、0.8、0.4分。</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76" w:type="dxa"/>
            <w:vMerge w:val="continue"/>
          </w:tcPr>
          <w:p>
            <w:pPr>
              <w:numPr>
                <w:ilvl w:val="0"/>
                <w:numId w:val="0"/>
              </w:numPr>
              <w:jc w:val="both"/>
              <w:rPr>
                <w:rFonts w:hint="eastAsia" w:ascii="仿宋_GB2312" w:hAnsi="仿宋_GB2312" w:eastAsia="仿宋_GB2312" w:cs="仿宋_GB2312"/>
                <w:b/>
                <w:bCs/>
                <w:sz w:val="24"/>
                <w:szCs w:val="24"/>
                <w:vertAlign w:val="baseline"/>
                <w:lang w:val="en-US" w:eastAsia="zh-CN"/>
              </w:rPr>
            </w:pPr>
          </w:p>
        </w:tc>
        <w:tc>
          <w:tcPr>
            <w:tcW w:w="2513"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13.2简报刊发</w:t>
            </w:r>
          </w:p>
        </w:tc>
        <w:tc>
          <w:tcPr>
            <w:tcW w:w="6342"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报送优化营商环境工作信息,被省软环境办釆用,编写专报的,每次加1分/项。</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76" w:type="dxa"/>
            <w:vMerge w:val="continue"/>
          </w:tcPr>
          <w:p>
            <w:pPr>
              <w:numPr>
                <w:ilvl w:val="0"/>
                <w:numId w:val="0"/>
              </w:numPr>
              <w:jc w:val="both"/>
              <w:rPr>
                <w:rFonts w:hint="eastAsia" w:ascii="仿宋_GB2312" w:hAnsi="仿宋_GB2312" w:eastAsia="仿宋_GB2312" w:cs="仿宋_GB2312"/>
                <w:b/>
                <w:bCs/>
                <w:sz w:val="24"/>
                <w:szCs w:val="24"/>
                <w:vertAlign w:val="baseline"/>
                <w:lang w:val="en-US" w:eastAsia="zh-CN"/>
              </w:rPr>
            </w:pPr>
          </w:p>
        </w:tc>
        <w:tc>
          <w:tcPr>
            <w:tcW w:w="2513"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13.3全省推广</w:t>
            </w:r>
          </w:p>
        </w:tc>
        <w:tc>
          <w:tcPr>
            <w:tcW w:w="6342" w:type="dxa"/>
            <w:vAlign w:val="top"/>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相关经验做法在全省推广的,加1分/项。</w:t>
            </w:r>
          </w:p>
        </w:tc>
        <w:tc>
          <w:tcPr>
            <w:tcW w:w="1645" w:type="dxa"/>
            <w:vMerge w:val="continue"/>
          </w:tcPr>
          <w:p>
            <w:pPr>
              <w:jc w:val="both"/>
              <w:rPr>
                <w:rFonts w:hint="eastAsia" w:ascii="仿宋_GB2312" w:hAnsi="仿宋_GB2312" w:eastAsia="仿宋_GB2312" w:cs="仿宋_GB2312"/>
                <w:sz w:val="30"/>
                <w:szCs w:val="30"/>
                <w:vertAlign w:val="baseline"/>
                <w:lang w:val="en-US" w:eastAsia="zh-CN"/>
              </w:rPr>
            </w:pPr>
          </w:p>
        </w:tc>
        <w:tc>
          <w:tcPr>
            <w:tcW w:w="1644" w:type="dxa"/>
            <w:vMerge w:val="continue"/>
          </w:tcPr>
          <w:p>
            <w:pPr>
              <w:jc w:val="both"/>
              <w:rPr>
                <w:rFonts w:hint="eastAsia" w:ascii="仿宋_GB2312" w:hAnsi="仿宋_GB2312" w:eastAsia="仿宋_GB2312" w:cs="仿宋_GB2312"/>
                <w:sz w:val="30"/>
                <w:szCs w:val="30"/>
                <w:vertAlign w:val="baseline"/>
                <w:lang w:val="en-US" w:eastAsia="zh-CN"/>
              </w:rPr>
            </w:pPr>
          </w:p>
        </w:tc>
      </w:tr>
    </w:tbl>
    <w:p>
      <w:pPr>
        <w:jc w:val="both"/>
        <w:rPr>
          <w:rFonts w:hint="eastAsia" w:ascii="仿宋_GB2312" w:hAnsi="仿宋_GB2312" w:eastAsia="仿宋_GB2312" w:cs="仿宋_GB2312"/>
          <w:sz w:val="30"/>
          <w:szCs w:val="30"/>
          <w:lang w:val="en-US" w:eastAsia="zh-CN"/>
        </w:rPr>
      </w:pP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E2F90"/>
    <w:rsid w:val="04B04642"/>
    <w:rsid w:val="086F7B27"/>
    <w:rsid w:val="0E7C23ED"/>
    <w:rsid w:val="0FF2417D"/>
    <w:rsid w:val="0FF566E4"/>
    <w:rsid w:val="12A06D67"/>
    <w:rsid w:val="145E3B3A"/>
    <w:rsid w:val="180E2F90"/>
    <w:rsid w:val="1AFA2F1C"/>
    <w:rsid w:val="214A0827"/>
    <w:rsid w:val="24853F6C"/>
    <w:rsid w:val="29E61663"/>
    <w:rsid w:val="2EE83B28"/>
    <w:rsid w:val="33C04A10"/>
    <w:rsid w:val="341426D2"/>
    <w:rsid w:val="35933692"/>
    <w:rsid w:val="3A4D232F"/>
    <w:rsid w:val="3A870AE2"/>
    <w:rsid w:val="3B93107F"/>
    <w:rsid w:val="3E1651AF"/>
    <w:rsid w:val="3E9E08B9"/>
    <w:rsid w:val="47A27CDD"/>
    <w:rsid w:val="48E53B87"/>
    <w:rsid w:val="49A922B6"/>
    <w:rsid w:val="50F7343E"/>
    <w:rsid w:val="52510386"/>
    <w:rsid w:val="552F4C14"/>
    <w:rsid w:val="57A7214D"/>
    <w:rsid w:val="5ABF30AD"/>
    <w:rsid w:val="5DF715D8"/>
    <w:rsid w:val="5EF01361"/>
    <w:rsid w:val="64BC6E8F"/>
    <w:rsid w:val="66200B2C"/>
    <w:rsid w:val="6DAC1308"/>
    <w:rsid w:val="6F4F165B"/>
    <w:rsid w:val="71846A4F"/>
    <w:rsid w:val="736A0F05"/>
    <w:rsid w:val="7A4562E0"/>
    <w:rsid w:val="7CB82B51"/>
    <w:rsid w:val="7D9D4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2019-09-29T01:58:00Z</dcterms:created>
  <dc:creator>软环境办公室</dc:creator>
  <cp:lastModifiedBy>Administrator</cp:lastModifiedBy>
  <cp:lastPrinted>2020-04-30T08:05:00Z</cp:lastPrinted>
  <dcterms:modified xsi:type="dcterms:W3CDTF">2021-07-16T01:05:08Z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