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4"/>
        </w:rPr>
        <w:t>附件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4"/>
        </w:rPr>
        <w:t>国务院决定取消和调整的罚款事项目录</w:t>
      </w:r>
    </w:p>
    <w:p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21070" cy="3668395"/>
            <wp:effectExtent l="0" t="0" r="17780" b="825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1070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45200" cy="4337050"/>
            <wp:effectExtent l="0" t="0" r="12700" b="635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433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73775" cy="4251960"/>
            <wp:effectExtent l="0" t="0" r="3175" b="1524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425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91555" cy="4281170"/>
            <wp:effectExtent l="0" t="0" r="4445" b="508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4281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007735" cy="3369945"/>
            <wp:effectExtent l="0" t="0" r="12065" b="1905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369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8E9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Office_10.8.0.6470_F1E327BC-269C-435d-A152-05C5408002CA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2023-11-02T01:02:08Z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2052-10.8.0.6470</vt:lpwstr>
  </property>
</Properties>
</file>