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val="0"/>
          <w:bCs w:val="0"/>
          <w:kern w:val="44"/>
          <w:sz w:val="30"/>
          <w:szCs w:val="44"/>
          <w:lang w:val="en-US" w:eastAsia="zh-CN" w:bidi="ar-SA"/>
        </w:rPr>
      </w:pPr>
      <w:r>
        <w:rPr>
          <w:rFonts w:hint="eastAsia" w:ascii="文星标宋" w:hAnsi="文星标宋" w:eastAsia="文星标宋" w:cs="文星标宋"/>
          <w:b w:val="0"/>
          <w:bCs w:val="0"/>
          <w:kern w:val="44"/>
          <w:sz w:val="30"/>
          <w:szCs w:val="44"/>
          <w:lang w:val="en-US" w:eastAsia="zh-CN" w:bidi="ar-SA"/>
        </w:rPr>
        <w:t>（十）人社局就业社会保险领域</w:t>
      </w:r>
      <w:r>
        <w:rPr>
          <w:rFonts w:hint="eastAsia" w:ascii="文星标宋" w:hAnsi="文星标宋" w:eastAsia="文星标宋" w:cs="文星标宋"/>
          <w:i w:val="0"/>
          <w:color w:val="000000"/>
          <w:kern w:val="0"/>
          <w:sz w:val="30"/>
          <w:szCs w:val="30"/>
          <w:u w:val="none"/>
          <w:lang w:val="en-US" w:eastAsia="zh-CN" w:bidi="ar"/>
        </w:rPr>
        <w:t>基层政务公开标准目录</w:t>
      </w:r>
    </w:p>
    <w:tbl>
      <w:tblPr>
        <w:tblStyle w:val="7"/>
        <w:tblW w:w="14740" w:type="dxa"/>
        <w:jc w:val="center"/>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6"/>
        <w:gridCol w:w="676"/>
        <w:gridCol w:w="680"/>
        <w:gridCol w:w="1382"/>
        <w:gridCol w:w="1993"/>
        <w:gridCol w:w="677"/>
        <w:gridCol w:w="679"/>
        <w:gridCol w:w="2806"/>
        <w:gridCol w:w="677"/>
        <w:gridCol w:w="675"/>
        <w:gridCol w:w="676"/>
        <w:gridCol w:w="678"/>
        <w:gridCol w:w="677"/>
        <w:gridCol w:w="1007"/>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序号</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公开内容（要素）</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公开依据</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公开时限</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公开主体</w:t>
            </w:r>
          </w:p>
        </w:tc>
        <w:tc>
          <w:tcPr>
            <w:tcW w:w="2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公开渠道和载体</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公开对象</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公开方式</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一级事项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二级事项</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特定群体</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依申请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乡镇（街道）级</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top"/>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2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9.社会保障卡服务</w:t>
            </w:r>
          </w:p>
        </w:tc>
        <w:tc>
          <w:tcPr>
            <w:tcW w:w="68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9.1社会保障卡申领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2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outlineLvl w:val="9"/>
              <w:rPr>
                <w:rFonts w:hint="eastAsia" w:ascii="仿宋_GB2312" w:hAnsi="仿宋_GB2312" w:eastAsia="仿宋_GB2312" w:cs="仿宋_GB2312"/>
                <w:i w:val="0"/>
                <w:color w:val="000000"/>
                <w:sz w:val="18"/>
                <w:szCs w:val="18"/>
                <w:u w:val="none"/>
              </w:rPr>
            </w:pPr>
          </w:p>
        </w:tc>
        <w:tc>
          <w:tcPr>
            <w:tcW w:w="68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9.2社会保障卡启用（含社会保障卡银行账户激活）</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1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676"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9.社会保障卡服务</w:t>
            </w:r>
          </w:p>
        </w:tc>
        <w:tc>
          <w:tcPr>
            <w:tcW w:w="68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9.3社会保障卡应用状态查询</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1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6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8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9.4社会保障卡信息变更（非关键信息）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6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8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9.5社会保障卡密码修改与重置</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676"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9.社会保障卡服务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9.6社会保障卡挂失与解挂</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6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9.7社会保障卡补换、换领、换发</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1.《中华人民共和国政府信息公开条例》（中华人民共和国国务院令第711号）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3.《人力资源和社会保障部关于印发“中华人民共和国社会保障卡”管理办法的通知》（人社部发[2011]47号）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人力资源社会保障部门（或社会保障卡管理部门）</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□精准推送    ■其他</w:t>
            </w:r>
            <w:r>
              <w:rPr>
                <w:rStyle w:val="8"/>
                <w:rFonts w:hint="eastAsia" w:ascii="仿宋_GB2312" w:hAnsi="仿宋_GB2312" w:eastAsia="仿宋_GB2312" w:cs="仿宋_GB2312"/>
                <w:sz w:val="18"/>
                <w:szCs w:val="18"/>
                <w:lang w:val="en-US" w:eastAsia="zh-CN" w:bidi="ar"/>
              </w:rPr>
              <w:t xml:space="preserve"> 基层公共服务平台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81" w:type="dxa"/>
            <w:tcBorders>
              <w:top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bl>
    <w:p>
      <w:pPr>
        <w:pStyle w:val="5"/>
        <w:numPr>
          <w:ilvl w:val="0"/>
          <w:numId w:val="0"/>
        </w:numPr>
        <w:jc w:val="center"/>
        <w:rPr>
          <w:rFonts w:hint="eastAsia" w:ascii="文星标宋" w:hAnsi="文星标宋" w:eastAsia="文星标宋" w:cs="文星标宋"/>
          <w:b w:val="0"/>
          <w:bCs w:val="0"/>
          <w:i w:val="0"/>
          <w:color w:val="000000"/>
          <w:kern w:val="0"/>
          <w:sz w:val="30"/>
          <w:szCs w:val="30"/>
          <w:u w:val="none"/>
          <w:lang w:val="en-US" w:eastAsia="zh-CN" w:bidi="ar"/>
        </w:rPr>
      </w:pPr>
      <w:r>
        <w:rPr>
          <w:rFonts w:hint="eastAsia" w:ascii="文星标宋" w:hAnsi="文星标宋" w:eastAsia="文星标宋" w:cs="文星标宋"/>
          <w:b w:val="0"/>
          <w:bCs w:val="0"/>
          <w:sz w:val="30"/>
          <w:lang w:val="en-US" w:eastAsia="zh-CN"/>
        </w:rPr>
        <w:t>（十）社保局就业社会保险领域</w:t>
      </w:r>
      <w:r>
        <w:rPr>
          <w:rFonts w:hint="eastAsia" w:ascii="文星标宋" w:hAnsi="文星标宋" w:eastAsia="文星标宋" w:cs="文星标宋"/>
          <w:b w:val="0"/>
          <w:bCs w:val="0"/>
          <w:i w:val="0"/>
          <w:color w:val="000000"/>
          <w:kern w:val="0"/>
          <w:sz w:val="30"/>
          <w:szCs w:val="30"/>
          <w:u w:val="none"/>
          <w:lang w:val="en-US" w:eastAsia="zh-CN" w:bidi="ar"/>
        </w:rPr>
        <w:t>基层政务公开标准目录</w:t>
      </w:r>
    </w:p>
    <w:tbl>
      <w:tblPr>
        <w:tblStyle w:val="7"/>
        <w:tblW w:w="14740" w:type="dxa"/>
        <w:jc w:val="center"/>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9"/>
        <w:gridCol w:w="501"/>
        <w:gridCol w:w="616"/>
        <w:gridCol w:w="1224"/>
        <w:gridCol w:w="4442"/>
        <w:gridCol w:w="561"/>
        <w:gridCol w:w="478"/>
        <w:gridCol w:w="1915"/>
        <w:gridCol w:w="544"/>
        <w:gridCol w:w="502"/>
        <w:gridCol w:w="1112"/>
        <w:gridCol w:w="466"/>
        <w:gridCol w:w="492"/>
        <w:gridCol w:w="371"/>
        <w:gridCol w:w="466"/>
        <w:gridCol w:w="444"/>
        <w:gridCol w:w="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95" w:hRule="atLeast"/>
          <w:jc w:val="center"/>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序号</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公开内容  （要素）</w:t>
            </w:r>
          </w:p>
        </w:tc>
        <w:tc>
          <w:tcPr>
            <w:tcW w:w="4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公开依据</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公开时限</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公开主体</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公开渠道和载体</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承办地点</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承办单位</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联系   电话</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公开对象</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公开方式</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一级事项</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二级事项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全社会</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特定群体</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主动</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依申请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1.社会保险登记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1.1机关事业单位社会保险登记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3.《国务院关于机关事业单位工作人员养老保险制度改革的决定》（国发﹝2015﹞2号）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0436-5201118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1.2工程建设项目办理工伤保险参保登记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1.3参保单位注销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1.社会保险登记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1.4职工参保登记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3"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1.5城乡居民养老保险参保登记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0436-5207980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2.社会保险参保信息维护</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2.1单位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（项目）基本信息变更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2.社会保险参保信息维护</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2.2个人基本信息变更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7"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2.3养老保险待遇发放账户维护申请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0436-5202268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2.4工伤保险待遇发放账户维护申请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2.社会保险参保信息维护</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2.5失业保险待遇发放账户维护申请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3"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3.社会保险缴费申报</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3.1缴费人员增减申报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3.2社会保险缴费申报与变更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3.社会保险缴费申报</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3.3社会保险费延缴申请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8"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3.4社会保险费欠费补缴申报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4.社会保险参保缴费记录查询</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4.1单位参保证明查询打印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4.社会保险参保缴费记录查询</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4.2个人权益记录查询打印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3.《社会保险费征缴暂行条例》（中华人民共和国国务院令710号）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2"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 养老保险服务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5.1职工正常退休(职) 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5.2城乡居民养老保险待遇申领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0436-5207980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5.养老保险服务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5.3暂停养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老保险待遇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9"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5.4恢复养老保险待遇</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5.5个人账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户一次性待</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遇申领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5.养老保险服务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5.6丧葬补助金、抚恤金申领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9"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5.7居民养老保险注销登记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0436-5207980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5.8遗属待遇申领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5.养老保险服务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5.9病残津贴申领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5.10城镇职工基本养老保险关系转移接续申请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3.《国务院办公厅关于转发人力资源社会保障部财政部城镇企业职工基本养老保险关系转移接续暂行办法的通知》（国办发﹝2009﹞66号）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5.11机关事业单位养老保险关系转移接续申请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3.《人力资源社会保障部财政部关于机关事业单位基本养老保险关系和职业年金转移接续有关问题的通知》（人社部规﹝2017﹞1号）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0436-5201118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5.养老保险服务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5.12城乡居民基本养老保险关系转移接续申请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3.《中华人民共和国劳动保险条例》（1951年2月26，《中华人民共和国劳动保险条例》发布，自1951年02月26日起施行法律法规； 1953年1月2日，《中华人民共和国劳动保险条例》经中央人民政府政务院修正）</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0436-5207980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5.13机关事业单位基本养老保险与城镇企业职工基本养老保险互转申请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3.《人力资源社会保障部财政部关于机关事业单位基本养老保险关系和职业年金转移接续有关问题的通知》（人社部规﹝2017﹞1号）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0436-5201118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5.14城镇职工基本养老保险与城乡居民基本养老保险制度衔接申请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3.《人力资源社会保障部财政部关于印发＜城乡养老保险制度衔接暂行办法＞的通知》（人社部发﹝2014﹞17号）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0436-5207980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5.养老保险服务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5.15军地养老保险关系转移接续申请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3.《人力资源社会保障部财政部总参谋部总政治部总后勤部关于军人退役基本养老保险关系转移接续有关问题的通知》（后财﹝2015﹞1726号）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3"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5.16多重养老保险关系个人账户退费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3.《人力资源和社会保障部＜关于贯彻落实国务院办公厅转发城镇企业职工基本养老保险关系转移接续暂行办法的通知》（人社部发﹝2009﹞187号）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0436-5201118</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6.1工伤事故备案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6.2用人单位办理工伤登记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6.3变更工伤登记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6.4协议医疗机构的确认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6.5协议康复机构的确认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6.6辅助器具配置协议机构的确认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6.7异地居住就医申请确认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6.8异地工伤就医报告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6.9旧伤复发申请确认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6.10转诊转院申请确认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6.11工伤康复申请确认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6.12工伤康复治疗期延长申请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6.13辅助器具配置或更换申请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6.14辅助器具异地配置申请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6.15停工留薪期确认和延长确认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6.16工伤医疗（康复）费用申报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6.17住院伙食补助费申领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6.18统筹地区以外交通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、食宿费申领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6.19一次性工伤医疗补助金申请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6.20辅助器具配置（更换）费用申报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6.21伤残待遇申领（一次性伤残补助金、伤残津贴和生活护理费）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6.工伤保险服务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6.22一次性工亡补助金（含生活困难，预支50%确认）、丧葬补助金申领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6.23供养亲属抚恤金申领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6.24工伤保险待遇变更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3.《工伤保险条例》（中华人民共和国国务院令第586号）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7.失业保险服务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7.1失业保险金申领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7.2丧葬补助金和抚恤金申领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7.3职业培训补贴申领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7.失业保险服务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7.4职业介绍补贴申领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7.5农民合同制工人一次性生活补助申领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7.6代缴基本医疗保险费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7.失业保险服务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7.7价格临时补贴申领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7.8失业保险关系转移接续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7.9稳岗补贴申领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7.失业保险服务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7.10技能提升补贴申领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7.11东部7省（市）扩大支出试点项目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1.事项名称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2.事项简述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3.办理材料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4.办理方式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5.办理时限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6.结果送达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7.收费依据及标准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8.办事时间</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9.办理机构及地点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10.咨询查询途径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1.《中华人民共和国政府信息公开条例》（中华人民共和国国务院令第711号）                                             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3.《失业保险条例》（中华人民共和国国务院令第258号）</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■政府网站 □政府公报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□两微一端 □发布会/听证会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□广播电视 □纸质媒体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□公开查阅点 ■政务服务中心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□便民服务站 □入户/现场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□社区/企事业单位/村公示栏（电子屏）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□精准推送 ■其他 </w:t>
            </w:r>
            <w:r>
              <w:rPr>
                <w:rFonts w:hint="eastAsia" w:ascii="仿宋_GB2312" w:hAnsi="仿宋_GB2312" w:eastAsia="仿宋_GB2312" w:cs="仿宋_GB2312"/>
                <w:i w:val="0"/>
                <w:color w:val="000000"/>
                <w:kern w:val="0"/>
                <w:sz w:val="18"/>
                <w:szCs w:val="18"/>
                <w:u w:val="single"/>
                <w:lang w:val="en-US" w:eastAsia="zh-CN" w:bidi="ar"/>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大安市长虹西路18-1号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大安市社会保险事业管理局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0436-5202155</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ascii="仿宋_GB2312" w:hAnsi="宋体" w:eastAsia="仿宋_GB2312"/>
                <w:color w:val="000000"/>
                <w:sz w:val="18"/>
                <w:szCs w:val="18"/>
              </w:rPr>
              <w:t>68</w:t>
            </w:r>
          </w:p>
        </w:tc>
        <w:tc>
          <w:tcPr>
            <w:tcW w:w="50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企业年金方案备案</w:t>
            </w:r>
          </w:p>
        </w:tc>
        <w:tc>
          <w:tcPr>
            <w:tcW w:w="61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企业年金方案备案</w:t>
            </w:r>
          </w:p>
        </w:tc>
        <w:tc>
          <w:tcPr>
            <w:tcW w:w="122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444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《政府信息公开条例》、《社会保险法》、《企业年金办法》</w:t>
            </w:r>
          </w:p>
        </w:tc>
        <w:tc>
          <w:tcPr>
            <w:tcW w:w="56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公开事项信息形成或变更之日起20个工作日内公开</w:t>
            </w:r>
          </w:p>
        </w:tc>
        <w:tc>
          <w:tcPr>
            <w:tcW w:w="47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人力资源社会保障部门</w:t>
            </w:r>
          </w:p>
        </w:tc>
        <w:tc>
          <w:tcPr>
            <w:tcW w:w="191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　</w:t>
            </w:r>
          </w:p>
        </w:tc>
        <w:tc>
          <w:tcPr>
            <w:tcW w:w="11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　</w:t>
            </w:r>
          </w:p>
        </w:tc>
        <w:tc>
          <w:tcPr>
            <w:tcW w:w="49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w:t>
            </w:r>
          </w:p>
        </w:tc>
        <w:tc>
          <w:tcPr>
            <w:tcW w:w="37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ascii="仿宋_GB2312" w:hAnsi="宋体" w:eastAsia="仿宋_GB2312"/>
                <w:color w:val="000000"/>
                <w:sz w:val="18"/>
                <w:szCs w:val="18"/>
              </w:rPr>
              <w:t>68</w:t>
            </w:r>
          </w:p>
        </w:tc>
        <w:tc>
          <w:tcPr>
            <w:tcW w:w="44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企业年金方案备案</w:t>
            </w:r>
          </w:p>
        </w:tc>
        <w:tc>
          <w:tcPr>
            <w:tcW w:w="23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企业年金方案备案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ascii="仿宋_GB2312" w:hAnsi="宋体" w:eastAsia="仿宋_GB2312"/>
                <w:color w:val="000000"/>
                <w:sz w:val="18"/>
                <w:szCs w:val="18"/>
              </w:rPr>
              <w:t>69</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企业年金方案备案</w:t>
            </w:r>
          </w:p>
        </w:tc>
        <w:tc>
          <w:tcPr>
            <w:tcW w:w="61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企业年金方案重要条款变更备案</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444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《政府信息公开条例》、《社会保险法》、《企业年金办法》</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公开事项信息形成或变更之日起20个工作日内公开</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人力资源社会保障部门</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54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　</w:t>
            </w:r>
          </w:p>
        </w:tc>
        <w:tc>
          <w:tcPr>
            <w:tcW w:w="11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　</w:t>
            </w:r>
          </w:p>
        </w:tc>
        <w:tc>
          <w:tcPr>
            <w:tcW w:w="49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w:t>
            </w:r>
          </w:p>
        </w:tc>
        <w:tc>
          <w:tcPr>
            <w:tcW w:w="37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ascii="仿宋_GB2312" w:hAnsi="宋体" w:eastAsia="仿宋_GB2312"/>
                <w:color w:val="000000"/>
                <w:sz w:val="18"/>
                <w:szCs w:val="18"/>
              </w:rPr>
              <w:t>69</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企业年金方案备案</w:t>
            </w:r>
          </w:p>
        </w:tc>
        <w:tc>
          <w:tcPr>
            <w:tcW w:w="23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企业年金方案重要条款变更备案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90" w:hRule="atLeast"/>
          <w:jc w:val="center"/>
        </w:trPr>
        <w:tc>
          <w:tcPr>
            <w:tcW w:w="3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ascii="仿宋_GB2312" w:hAnsi="宋体" w:eastAsia="仿宋_GB2312"/>
                <w:color w:val="000000"/>
                <w:sz w:val="18"/>
                <w:szCs w:val="18"/>
              </w:rPr>
              <w:t>70</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企业年金方案终止备案</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仿宋_GB2312" w:hAnsi="仿宋_GB2312" w:eastAsia="仿宋_GB2312" w:cs="仿宋_GB2312"/>
                <w:i w:val="0"/>
                <w:color w:val="000000"/>
                <w:kern w:val="0"/>
                <w:sz w:val="18"/>
                <w:szCs w:val="18"/>
                <w:u w:val="none"/>
                <w:lang w:val="en-US" w:eastAsia="zh-CN" w:bidi="ar"/>
              </w:rPr>
            </w:pPr>
          </w:p>
        </w:tc>
        <w:tc>
          <w:tcPr>
            <w:tcW w:w="44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　</w:t>
            </w:r>
          </w:p>
        </w:tc>
        <w:tc>
          <w:tcPr>
            <w:tcW w:w="111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　</w:t>
            </w:r>
          </w:p>
        </w:tc>
        <w:tc>
          <w:tcPr>
            <w:tcW w:w="49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w:t>
            </w:r>
          </w:p>
        </w:tc>
        <w:tc>
          <w:tcPr>
            <w:tcW w:w="37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olor w:val="000000"/>
                <w:sz w:val="18"/>
                <w:szCs w:val="18"/>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i w:val="0"/>
                <w:color w:val="000000"/>
                <w:sz w:val="18"/>
                <w:szCs w:val="18"/>
                <w:u w:val="none"/>
              </w:rPr>
            </w:pPr>
            <w:r>
              <w:rPr>
                <w:rFonts w:ascii="仿宋_GB2312" w:hAnsi="宋体" w:eastAsia="仿宋_GB2312"/>
                <w:color w:val="000000"/>
                <w:sz w:val="18"/>
                <w:szCs w:val="18"/>
              </w:rPr>
              <w:t>70</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kern w:val="0"/>
                <w:sz w:val="18"/>
                <w:szCs w:val="18"/>
                <w:u w:val="none"/>
                <w:lang w:val="en-US" w:eastAsia="zh-CN" w:bidi="ar"/>
              </w:rPr>
            </w:pPr>
          </w:p>
        </w:tc>
        <w:tc>
          <w:tcPr>
            <w:tcW w:w="23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仿宋_GB2312" w:hAnsi="仿宋_GB2312" w:eastAsia="仿宋_GB2312" w:cs="仿宋_GB2312"/>
                <w:i w:val="0"/>
                <w:color w:val="000000"/>
                <w:sz w:val="18"/>
                <w:szCs w:val="18"/>
                <w:u w:val="none"/>
              </w:rPr>
            </w:pPr>
            <w:r>
              <w:rPr>
                <w:rFonts w:hint="eastAsia" w:ascii="仿宋_GB2312" w:hAnsi="宋体" w:eastAsia="仿宋_GB2312"/>
                <w:color w:val="000000"/>
                <w:sz w:val="18"/>
                <w:szCs w:val="18"/>
              </w:rPr>
              <w:t>企业年金方案终止备案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Calibri Light">
    <w:altName w:val="Segoe Print"/>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ExtB">
    <w:altName w:val="Microsoft JhengHei UI"/>
    <w:panose1 w:val="02020500000000000000"/>
    <w:charset w:val="88"/>
    <w:family w:val="auto"/>
    <w:pitch w:val="default"/>
    <w:sig w:usb0="00000000" w:usb1="00000000"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B508D"/>
    <w:rsid w:val="44DB50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0"/>
      <w:ind w:firstLine="200" w:firstLineChars="200"/>
    </w:pPr>
    <w:rPr>
      <w:rFonts w:ascii="Calibri" w:hAnsi="Calibri" w:eastAsia="宋体" w:cs="Times New Roman"/>
      <w:lang w:bidi="ar-SA"/>
    </w:rPr>
  </w:style>
  <w:style w:type="paragraph" w:styleId="3">
    <w:name w:val="Body Text Indent"/>
    <w:basedOn w:val="1"/>
    <w:next w:val="4"/>
    <w:uiPriority w:val="0"/>
    <w:pPr>
      <w:spacing w:after="120"/>
      <w:ind w:left="200" w:leftChars="200"/>
    </w:pPr>
    <w:rPr>
      <w:rFonts w:eastAsia="宋体"/>
      <w:sz w:val="21"/>
    </w:rPr>
  </w:style>
  <w:style w:type="paragraph" w:styleId="4">
    <w:name w:val="Normal Indent"/>
    <w:basedOn w:val="1"/>
    <w:uiPriority w:val="0"/>
    <w:pPr>
      <w:ind w:firstLine="200" w:firstLineChars="200"/>
    </w:pPr>
    <w:rPr>
      <w:rFonts w:eastAsia="仿宋"/>
      <w:sz w:val="32"/>
    </w:rPr>
  </w:style>
  <w:style w:type="character" w:customStyle="1" w:styleId="8">
    <w:name w:val="font41"/>
    <w:basedOn w:val="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2020-12-16T13:15:00Z</dcterms:created>
  <dc:creator>Administrator</dc:creator>
  <cp:lastModifiedBy>Administrator</cp:lastModifiedBy>
  <dcterms:modified xsi:type="dcterms:W3CDTF">2020-12-16T13:16:13Z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