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文星标宋" w:hAnsi="文星标宋" w:eastAsia="文星标宋" w:cs="文星标宋"/>
          <w:b w:val="0"/>
          <w:bCs w:val="0"/>
          <w:kern w:val="44"/>
          <w:sz w:val="30"/>
          <w:szCs w:val="44"/>
          <w:lang w:val="en-US" w:eastAsia="zh-CN" w:bidi="ar-SA"/>
        </w:rPr>
      </w:pPr>
      <w:r>
        <w:rPr>
          <w:rFonts w:hint="eastAsia" w:ascii="文星标宋" w:hAnsi="文星标宋" w:eastAsia="文星标宋" w:cs="文星标宋"/>
          <w:b w:val="0"/>
          <w:bCs w:val="0"/>
          <w:kern w:val="44"/>
          <w:sz w:val="30"/>
          <w:szCs w:val="44"/>
          <w:lang w:val="en-US" w:eastAsia="zh-CN" w:bidi="ar-SA"/>
        </w:rPr>
        <w:t>（十）人社局就业社会保险领域</w:t>
      </w:r>
      <w:r>
        <w:rPr>
          <w:rFonts w:hint="eastAsia" w:ascii="文星标宋" w:hAnsi="文星标宋" w:eastAsia="文星标宋" w:cs="文星标宋"/>
          <w:i w:val="0"/>
          <w:color w:val="000000"/>
          <w:kern w:val="0"/>
          <w:sz w:val="30"/>
          <w:szCs w:val="30"/>
          <w:u w:val="none"/>
          <w:lang w:val="en-US" w:eastAsia="zh-CN" w:bidi="ar"/>
        </w:rPr>
        <w:t>基层政务公开标准目录</w:t>
      </w:r>
    </w:p>
    <w:tbl>
      <w:tblPr>
        <w:tblStyle w:val="7"/>
        <w:tblW w:w="14740" w:type="dxa"/>
        <w:jc w:val="center"/>
        <w:tblInd w:w="-37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6"/>
        <w:gridCol w:w="676"/>
        <w:gridCol w:w="680"/>
        <w:gridCol w:w="1382"/>
        <w:gridCol w:w="1993"/>
        <w:gridCol w:w="677"/>
        <w:gridCol w:w="679"/>
        <w:gridCol w:w="2806"/>
        <w:gridCol w:w="677"/>
        <w:gridCol w:w="675"/>
        <w:gridCol w:w="676"/>
        <w:gridCol w:w="678"/>
        <w:gridCol w:w="677"/>
        <w:gridCol w:w="1007"/>
        <w:gridCol w:w="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序号</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w:t>
            </w:r>
          </w:p>
        </w:tc>
        <w:tc>
          <w:tcPr>
            <w:tcW w:w="13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公开内容（要素）</w:t>
            </w:r>
          </w:p>
        </w:tc>
        <w:tc>
          <w:tcPr>
            <w:tcW w:w="1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公开依据</w:t>
            </w:r>
          </w:p>
        </w:tc>
        <w:tc>
          <w:tcPr>
            <w:tcW w:w="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公开时限</w:t>
            </w: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公开主体</w:t>
            </w:r>
          </w:p>
        </w:tc>
        <w:tc>
          <w:tcPr>
            <w:tcW w:w="28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公开渠道和载体</w:t>
            </w:r>
          </w:p>
        </w:tc>
        <w:tc>
          <w:tcPr>
            <w:tcW w:w="13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公开对象</w:t>
            </w:r>
          </w:p>
        </w:tc>
        <w:tc>
          <w:tcPr>
            <w:tcW w:w="13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公开方式</w:t>
            </w:r>
          </w:p>
        </w:tc>
        <w:tc>
          <w:tcPr>
            <w:tcW w:w="24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i w:val="0"/>
                <w:color w:val="000000"/>
                <w:sz w:val="18"/>
                <w:szCs w:val="18"/>
                <w:u w:val="none"/>
              </w:rPr>
            </w:pPr>
          </w:p>
        </w:tc>
        <w:tc>
          <w:tcPr>
            <w:tcW w:w="676"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一级事项</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二级事项</w:t>
            </w:r>
          </w:p>
        </w:tc>
        <w:tc>
          <w:tcPr>
            <w:tcW w:w="13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i w:val="0"/>
                <w:color w:val="000000"/>
                <w:sz w:val="18"/>
                <w:szCs w:val="18"/>
                <w:u w:val="none"/>
              </w:rPr>
            </w:pPr>
          </w:p>
        </w:tc>
        <w:tc>
          <w:tcPr>
            <w:tcW w:w="1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i w:val="0"/>
                <w:color w:val="000000"/>
                <w:sz w:val="18"/>
                <w:szCs w:val="18"/>
                <w:u w:val="none"/>
              </w:rPr>
            </w:pPr>
          </w:p>
        </w:tc>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i w:val="0"/>
                <w:color w:val="000000"/>
                <w:sz w:val="18"/>
                <w:szCs w:val="18"/>
                <w:u w:val="none"/>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i w:val="0"/>
                <w:color w:val="000000"/>
                <w:sz w:val="18"/>
                <w:szCs w:val="18"/>
                <w:u w:val="none"/>
              </w:rPr>
            </w:pPr>
          </w:p>
        </w:tc>
        <w:tc>
          <w:tcPr>
            <w:tcW w:w="28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i w:val="0"/>
                <w:color w:val="000000"/>
                <w:sz w:val="18"/>
                <w:szCs w:val="18"/>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全社会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特定群体</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主动</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依申请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县级</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乡镇（街道）级</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top"/>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村（社区）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20"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w:t>
            </w:r>
          </w:p>
        </w:tc>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9.社会保障卡服务</w:t>
            </w:r>
          </w:p>
        </w:tc>
        <w:tc>
          <w:tcPr>
            <w:tcW w:w="680"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9.1社会保障卡申领</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3.《人力资源和社会保障部关于印发“中华人民共和国社会保障卡”管理办法的通知》（人社部发[2011]47号）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人力资源社会保障部门（或社会保障卡管理部门）</w:t>
            </w:r>
          </w:p>
        </w:tc>
        <w:tc>
          <w:tcPr>
            <w:tcW w:w="2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□精准推送    ■其他</w:t>
            </w:r>
            <w:r>
              <w:rPr>
                <w:rStyle w:val="8"/>
                <w:rFonts w:hint="eastAsia" w:ascii="仿宋_GB2312" w:hAnsi="仿宋_GB2312" w:eastAsia="仿宋_GB2312" w:cs="仿宋_GB2312"/>
                <w:sz w:val="18"/>
                <w:szCs w:val="18"/>
                <w:lang w:val="en-US" w:eastAsia="zh-CN" w:bidi="ar"/>
              </w:rPr>
              <w:t xml:space="preserve"> 基层公共服务平台</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i w:val="0"/>
                <w:color w:val="000000"/>
                <w:sz w:val="18"/>
                <w:szCs w:val="18"/>
                <w:u w:val="none"/>
              </w:rPr>
            </w:pP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i w:val="0"/>
                <w:color w:val="000000"/>
                <w:sz w:val="18"/>
                <w:szCs w:val="18"/>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20"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outlineLvl w:val="9"/>
              <w:rPr>
                <w:rFonts w:hint="eastAsia" w:ascii="仿宋_GB2312" w:hAnsi="仿宋_GB2312" w:eastAsia="仿宋_GB2312" w:cs="仿宋_GB2312"/>
                <w:i w:val="0"/>
                <w:color w:val="000000"/>
                <w:sz w:val="18"/>
                <w:szCs w:val="18"/>
                <w:u w:val="none"/>
              </w:rPr>
            </w:pPr>
          </w:p>
        </w:tc>
        <w:tc>
          <w:tcPr>
            <w:tcW w:w="680"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9.2社会保障卡启用（含社会保障卡银行账户激活）</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3.《人力资源和社会保障部关于印发“中华人民共和国社会保障卡”管理办法的通知》（人社部发[2011]47号）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人力资源社会保障部门（或社会保障卡管理部门）</w:t>
            </w:r>
          </w:p>
        </w:tc>
        <w:tc>
          <w:tcPr>
            <w:tcW w:w="2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□精准推送    ■其他</w:t>
            </w:r>
            <w:r>
              <w:rPr>
                <w:rStyle w:val="8"/>
                <w:rFonts w:hint="eastAsia" w:ascii="仿宋_GB2312" w:hAnsi="仿宋_GB2312" w:eastAsia="仿宋_GB2312" w:cs="仿宋_GB2312"/>
                <w:sz w:val="18"/>
                <w:szCs w:val="18"/>
                <w:lang w:val="en-US" w:eastAsia="zh-CN" w:bidi="ar"/>
              </w:rPr>
              <w:t xml:space="preserve"> 基层公共服务平台</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i w:val="0"/>
                <w:color w:val="000000"/>
                <w:sz w:val="18"/>
                <w:szCs w:val="18"/>
                <w:u w:val="none"/>
              </w:rPr>
            </w:pP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i w:val="0"/>
                <w:color w:val="000000"/>
                <w:sz w:val="18"/>
                <w:szCs w:val="18"/>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15"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w:t>
            </w:r>
          </w:p>
        </w:tc>
        <w:tc>
          <w:tcPr>
            <w:tcW w:w="676"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9.社会保障卡服务</w:t>
            </w:r>
          </w:p>
        </w:tc>
        <w:tc>
          <w:tcPr>
            <w:tcW w:w="680"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9.3社会保障卡应用状态查询</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3.《人力资源和社会保障部关于印发“中华人民共和国社会保障卡”管理办法的通知》（人社部发[2011]47号）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人力资源社会保障部门（或社会保障卡管理部门）</w:t>
            </w:r>
          </w:p>
        </w:tc>
        <w:tc>
          <w:tcPr>
            <w:tcW w:w="2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□精准推送    ■其他</w:t>
            </w:r>
            <w:r>
              <w:rPr>
                <w:rStyle w:val="8"/>
                <w:rFonts w:hint="eastAsia" w:ascii="仿宋_GB2312" w:hAnsi="仿宋_GB2312" w:eastAsia="仿宋_GB2312" w:cs="仿宋_GB2312"/>
                <w:sz w:val="18"/>
                <w:szCs w:val="18"/>
                <w:lang w:val="en-US" w:eastAsia="zh-CN" w:bidi="ar"/>
              </w:rPr>
              <w:t xml:space="preserve"> 基层公共服务平台</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i w:val="0"/>
                <w:color w:val="000000"/>
                <w:sz w:val="18"/>
                <w:szCs w:val="18"/>
                <w:u w:val="none"/>
              </w:rPr>
            </w:pP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i w:val="0"/>
                <w:color w:val="000000"/>
                <w:sz w:val="18"/>
                <w:szCs w:val="18"/>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81" w:type="dxa"/>
            <w:tcBorders>
              <w:top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15"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w:t>
            </w:r>
          </w:p>
        </w:tc>
        <w:tc>
          <w:tcPr>
            <w:tcW w:w="67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i w:val="0"/>
                <w:color w:val="000000"/>
                <w:sz w:val="18"/>
                <w:szCs w:val="18"/>
                <w:u w:val="none"/>
              </w:rPr>
            </w:pPr>
          </w:p>
        </w:tc>
        <w:tc>
          <w:tcPr>
            <w:tcW w:w="680"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9.4社会保障卡信息变更（非关键信息）</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3.《人力资源和社会保障部关于印发“中华人民共和国社会保障卡”管理办法的通知》（人社部发[2011]47号）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人力资源社会保障部门（或社会保障卡管理部门）</w:t>
            </w:r>
          </w:p>
        </w:tc>
        <w:tc>
          <w:tcPr>
            <w:tcW w:w="2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□精准推送    ■其他</w:t>
            </w:r>
            <w:r>
              <w:rPr>
                <w:rStyle w:val="8"/>
                <w:rFonts w:hint="eastAsia" w:ascii="仿宋_GB2312" w:hAnsi="仿宋_GB2312" w:eastAsia="仿宋_GB2312" w:cs="仿宋_GB2312"/>
                <w:sz w:val="18"/>
                <w:szCs w:val="18"/>
                <w:lang w:val="en-US" w:eastAsia="zh-CN" w:bidi="ar"/>
              </w:rPr>
              <w:t xml:space="preserve"> 基层公共服务平台</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i w:val="0"/>
                <w:color w:val="000000"/>
                <w:sz w:val="18"/>
                <w:szCs w:val="18"/>
                <w:u w:val="none"/>
              </w:rPr>
            </w:pP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i w:val="0"/>
                <w:color w:val="000000"/>
                <w:sz w:val="18"/>
                <w:szCs w:val="18"/>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81" w:type="dxa"/>
            <w:tcBorders>
              <w:top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75"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w:t>
            </w:r>
          </w:p>
        </w:tc>
        <w:tc>
          <w:tcPr>
            <w:tcW w:w="67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i w:val="0"/>
                <w:color w:val="000000"/>
                <w:sz w:val="18"/>
                <w:szCs w:val="18"/>
                <w:u w:val="none"/>
              </w:rPr>
            </w:pPr>
          </w:p>
        </w:tc>
        <w:tc>
          <w:tcPr>
            <w:tcW w:w="680"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9.5社会保障卡密码修改与重置</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3.《人力资源和社会保障部关于印发“中华人民共和国社会保障卡”管理办法的通知》（人社部发[2011]47号）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人力资源社会保障部门（或社会保障卡管理部门）</w:t>
            </w:r>
          </w:p>
        </w:tc>
        <w:tc>
          <w:tcPr>
            <w:tcW w:w="2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□精准推送    ■其他</w:t>
            </w:r>
            <w:r>
              <w:rPr>
                <w:rStyle w:val="8"/>
                <w:rFonts w:hint="eastAsia" w:ascii="仿宋_GB2312" w:hAnsi="仿宋_GB2312" w:eastAsia="仿宋_GB2312" w:cs="仿宋_GB2312"/>
                <w:sz w:val="18"/>
                <w:szCs w:val="18"/>
                <w:lang w:val="en-US" w:eastAsia="zh-CN" w:bidi="ar"/>
              </w:rPr>
              <w:t xml:space="preserve"> 基层公共服务平台</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i w:val="0"/>
                <w:color w:val="000000"/>
                <w:sz w:val="18"/>
                <w:szCs w:val="18"/>
                <w:u w:val="none"/>
              </w:rPr>
            </w:pP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i w:val="0"/>
                <w:color w:val="000000"/>
                <w:sz w:val="18"/>
                <w:szCs w:val="18"/>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81" w:type="dxa"/>
            <w:tcBorders>
              <w:top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75"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w:t>
            </w:r>
          </w:p>
        </w:tc>
        <w:tc>
          <w:tcPr>
            <w:tcW w:w="676"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9.社会保障卡服务</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9.6社会保障卡挂失与解挂</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3.《人力资源和社会保障部关于印发“中华人民共和国社会保障卡”管理办法的通知》（人社部发[2011]47号）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人力资源社会保障部门（或社会保障卡管理部门）</w:t>
            </w:r>
          </w:p>
        </w:tc>
        <w:tc>
          <w:tcPr>
            <w:tcW w:w="2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□精准推送    ■其他</w:t>
            </w:r>
            <w:r>
              <w:rPr>
                <w:rStyle w:val="8"/>
                <w:rFonts w:hint="eastAsia" w:ascii="仿宋_GB2312" w:hAnsi="仿宋_GB2312" w:eastAsia="仿宋_GB2312" w:cs="仿宋_GB2312"/>
                <w:sz w:val="18"/>
                <w:szCs w:val="18"/>
                <w:lang w:val="en-US" w:eastAsia="zh-CN" w:bidi="ar"/>
              </w:rPr>
              <w:t xml:space="preserve"> 基层公共服务平台</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i w:val="0"/>
                <w:color w:val="000000"/>
                <w:sz w:val="18"/>
                <w:szCs w:val="18"/>
                <w:u w:val="none"/>
              </w:rPr>
            </w:pP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i w:val="0"/>
                <w:color w:val="000000"/>
                <w:sz w:val="18"/>
                <w:szCs w:val="18"/>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81" w:type="dxa"/>
            <w:tcBorders>
              <w:top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75"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w:t>
            </w:r>
          </w:p>
        </w:tc>
        <w:tc>
          <w:tcPr>
            <w:tcW w:w="67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i w:val="0"/>
                <w:color w:val="000000"/>
                <w:sz w:val="18"/>
                <w:szCs w:val="18"/>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9.7社会保障卡补换、换领、换发</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3.《人力资源和社会保障部关于印发“中华人民共和国社会保障卡”管理办法的通知》（人社部发[2011]47号）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人力资源社会保障部门（或社会保障卡管理部门）</w:t>
            </w:r>
          </w:p>
        </w:tc>
        <w:tc>
          <w:tcPr>
            <w:tcW w:w="2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□精准推送    ■其他</w:t>
            </w:r>
            <w:r>
              <w:rPr>
                <w:rStyle w:val="8"/>
                <w:rFonts w:hint="eastAsia" w:ascii="仿宋_GB2312" w:hAnsi="仿宋_GB2312" w:eastAsia="仿宋_GB2312" w:cs="仿宋_GB2312"/>
                <w:sz w:val="18"/>
                <w:szCs w:val="18"/>
                <w:lang w:val="en-US" w:eastAsia="zh-CN" w:bidi="ar"/>
              </w:rPr>
              <w:t xml:space="preserve"> 基层公共服务平台</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i w:val="0"/>
                <w:color w:val="000000"/>
                <w:sz w:val="18"/>
                <w:szCs w:val="18"/>
                <w:u w:val="none"/>
              </w:rPr>
            </w:pP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i w:val="0"/>
                <w:color w:val="000000"/>
                <w:sz w:val="18"/>
                <w:szCs w:val="18"/>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781" w:type="dxa"/>
            <w:tcBorders>
              <w:top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仿宋_GB2312" w:hAnsi="仿宋_GB2312" w:eastAsia="仿宋_GB2312" w:cs="仿宋_GB2312"/>
                <w:i w:val="0"/>
                <w:color w:val="000000"/>
                <w:sz w:val="18"/>
                <w:szCs w:val="18"/>
                <w:u w:val="none"/>
              </w:rPr>
            </w:pPr>
          </w:p>
        </w:tc>
      </w:tr>
    </w:tbl>
    <w:p>
      <w:pPr>
        <w:pStyle w:val="5"/>
        <w:numPr>
          <w:ilvl w:val="0"/>
          <w:numId w:val="0"/>
        </w:numPr>
        <w:jc w:val="center"/>
        <w:rPr>
          <w:rFonts w:hint="eastAsia" w:ascii="文星标宋" w:hAnsi="文星标宋" w:eastAsia="文星标宋" w:cs="文星标宋"/>
          <w:b w:val="0"/>
          <w:bCs w:val="0"/>
          <w:i w:val="0"/>
          <w:color w:val="000000"/>
          <w:kern w:val="0"/>
          <w:sz w:val="30"/>
          <w:szCs w:val="30"/>
          <w:u w:val="none"/>
          <w:lang w:val="en-US" w:eastAsia="zh-CN" w:bidi="ar"/>
        </w:rPr>
      </w:pPr>
      <w:r>
        <w:rPr>
          <w:rFonts w:hint="eastAsia" w:ascii="文星标宋" w:hAnsi="文星标宋" w:eastAsia="文星标宋" w:cs="文星标宋"/>
          <w:b w:val="0"/>
          <w:bCs w:val="0"/>
          <w:sz w:val="30"/>
          <w:lang w:val="en-US" w:eastAsia="zh-CN"/>
        </w:rPr>
        <w:t>（十）社保局就业社会保险领域</w:t>
      </w:r>
      <w:r>
        <w:rPr>
          <w:rFonts w:hint="eastAsia" w:ascii="文星标宋" w:hAnsi="文星标宋" w:eastAsia="文星标宋" w:cs="文星标宋"/>
          <w:b w:val="0"/>
          <w:bCs w:val="0"/>
          <w:i w:val="0"/>
          <w:color w:val="000000"/>
          <w:kern w:val="0"/>
          <w:sz w:val="30"/>
          <w:szCs w:val="30"/>
          <w:u w:val="none"/>
          <w:lang w:val="en-US" w:eastAsia="zh-CN" w:bidi="ar"/>
        </w:rPr>
        <w:t>基层政务公开标准目录</w:t>
      </w:r>
    </w:p>
    <w:tbl>
      <w:tblPr>
        <w:tblStyle w:val="7"/>
        <w:tblW w:w="14740" w:type="dxa"/>
        <w:jc w:val="center"/>
        <w:tblInd w:w="-37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69"/>
        <w:gridCol w:w="501"/>
        <w:gridCol w:w="616"/>
        <w:gridCol w:w="1224"/>
        <w:gridCol w:w="4442"/>
        <w:gridCol w:w="561"/>
        <w:gridCol w:w="478"/>
        <w:gridCol w:w="1915"/>
        <w:gridCol w:w="544"/>
        <w:gridCol w:w="502"/>
        <w:gridCol w:w="1112"/>
        <w:gridCol w:w="466"/>
        <w:gridCol w:w="492"/>
        <w:gridCol w:w="371"/>
        <w:gridCol w:w="466"/>
        <w:gridCol w:w="444"/>
        <w:gridCol w:w="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95" w:hRule="atLeast"/>
          <w:jc w:val="center"/>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序号</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w:t>
            </w:r>
          </w:p>
        </w:tc>
        <w:tc>
          <w:tcPr>
            <w:tcW w:w="12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公开内容  （要素）</w:t>
            </w:r>
          </w:p>
        </w:tc>
        <w:tc>
          <w:tcPr>
            <w:tcW w:w="44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公开依据</w:t>
            </w:r>
          </w:p>
        </w:tc>
        <w:tc>
          <w:tcPr>
            <w:tcW w:w="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公开时限</w:t>
            </w:r>
          </w:p>
        </w:tc>
        <w:tc>
          <w:tcPr>
            <w:tcW w:w="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公开主体</w:t>
            </w:r>
          </w:p>
        </w:tc>
        <w:tc>
          <w:tcPr>
            <w:tcW w:w="1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公开渠道和载体</w:t>
            </w:r>
          </w:p>
        </w:tc>
        <w:tc>
          <w:tcPr>
            <w:tcW w:w="5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承办地点</w:t>
            </w:r>
          </w:p>
        </w:tc>
        <w:tc>
          <w:tcPr>
            <w:tcW w:w="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承办单位</w:t>
            </w:r>
          </w:p>
        </w:tc>
        <w:tc>
          <w:tcPr>
            <w:tcW w:w="11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联系   电话</w:t>
            </w:r>
          </w:p>
        </w:tc>
        <w:tc>
          <w:tcPr>
            <w:tcW w:w="9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公开对象</w:t>
            </w:r>
          </w:p>
        </w:tc>
        <w:tc>
          <w:tcPr>
            <w:tcW w:w="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公开方式</w:t>
            </w:r>
          </w:p>
        </w:tc>
        <w:tc>
          <w:tcPr>
            <w:tcW w:w="6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一级事项</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二级事项</w:t>
            </w: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1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全社会</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特定群体</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主动</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依申请</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县级</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w:t>
            </w:r>
          </w:p>
        </w:tc>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1.社会保险登记</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1.1机关事业单位社会保险登记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3.《国务院关于机关事业单位工作人员养老保险制度改革的决定》（国发﹝2015﹞2号）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0436-5201118</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1.2工程建设项目办理工伤保险参保登记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3.《社会保险费征缴暂行条例》（中华人民共和国国务院令710号）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1.3参保单位注销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3.《社会保险费征缴暂行条例》（中华人民共和国国务院令710号）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w:t>
            </w:r>
          </w:p>
        </w:tc>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1.社会保险登记</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1.4职工参保登记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3.《社会保险费征缴暂行条例》（中华人民共和国国务院令710号）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83"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1.5城乡居民养老保险参保登记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3.《社会保险费征缴暂行条例》（中华人民共和国国务院令710号）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0436-5207980</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2.社会保险参保信息维护</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2.1单位</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（项目）基本信息变更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3.《社会保险费征缴暂行条例》（中华人民共和国国务院令710号）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w:t>
            </w:r>
          </w:p>
        </w:tc>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2.社会保险参保信息维护</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2.2个人基本信息变更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3.《社会保险费征缴暂行条例》（中华人民共和国国务院令710号）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37"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2.3养老保险待遇发放账户维护申请</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3.《社会保险费征缴暂行条例》（中华人民共和国国务院令710号）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0436-5202268</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2.4工伤保险待遇发放账户维护申请</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3.《社会保险费征缴暂行条例》（中华人民共和国国务院令710号）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2.社会保险参保信息维护</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2.5失业保险待遇发放账户维护申请</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3.《社会保险费征缴暂行条例》（中华人民共和国国务院令710号）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3"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w:t>
            </w:r>
          </w:p>
        </w:tc>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3.社会保险缴费申报</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3.1缴费人员增减申报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3.《社会保险费征缴暂行条例》（中华人民共和国国务院令710号）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3.2社会保险缴费申报与变更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3.《社会保险费征缴暂行条例》（中华人民共和国国务院令710号）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w:t>
            </w:r>
          </w:p>
        </w:tc>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3.社会保险缴费申报</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3.3社会保险费延缴申请</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3.《社会保险费征缴暂行条例》（中华人民共和国国务院令710号）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28"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3.4社会保险费欠费补缴申报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3.《社会保险费征缴暂行条例》（中华人民共和国国务院令710号）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4.社会保险参保缴费记录查询</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4.1单位参保证明查询打印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3.《社会保险费征缴暂行条例》（中华人民共和国国务院令710号）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4.社会保险参保缴费记录查询</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4.2个人权益记录查询打印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3.《社会保险费征缴暂行条例》（中华人民共和国国务院令710号）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2"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17</w:t>
            </w:r>
          </w:p>
        </w:tc>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 养老保险服务</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5.1职工正常退休(职) 申请</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3.《中华人民共和国劳动保险条例》（1951年2月26，《中华人民共和国劳动保险条例》发布，自1951年02月26日起施行法律法规； 1953年1月2日，《中华人民共和国劳动保险条例》经中央人民政府政务院修正）</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5.2城乡居民养老保险待遇申领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3.《中华人民共和国劳动保险条例》（1951年2月26，《中华人民共和国劳动保险条例》发布，自1951年02月26日起施行法律法规； 1953年1月2日，《中华人民共和国劳动保险条例》经中央人民政府政务院修正）</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0436-5207980</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19</w:t>
            </w:r>
          </w:p>
        </w:tc>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5.养老保险服务</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5.3暂停养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老保险待遇</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申请</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3.《中华人民共和国劳动保险条例》（1951年2月26，《中华人民共和国劳动保险条例》发布，自1951年02月26日起施行法律法规； 1953年1月2日，《中华人民共和国劳动保险条例》经中央人民政府政务院修正）</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9"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5.4恢复养老保险待遇</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申请</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3.《中华人民共和国劳动保险条例》（1951年2月26，《中华人民共和国劳动保险条例》发布，自1951年02月26日起施行法律法规； 1953年1月2日，《中华人民共和国劳动保险条例》经中央人民政府政务院修正）</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5.5个人账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户一次性待</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遇申领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3.《中华人民共和国劳动保险条例》（1951年2月26，《中华人民共和国劳动保险条例》发布，自1951年02月26日起施行法律法规； 1953年1月2日，《中华人民共和国劳动保险条例》经中央人民政府政务院修正）</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5.养老保险服务</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5.6丧葬补助金、抚恤金申领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3.《中华人民共和国劳动保险条例》（1951年2月26，《中华人民共和国劳动保险条例》发布，自1951年02月26日起施行法律法规； 1953年1月2日，《中华人民共和国劳动保险条例》经中央人民政府政务院修正）</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9"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23</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5.7居民养老保险注销登记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3.《中华人民共和国劳动保险条例》（1951年2月26，《中华人民共和国劳动保险条例》发布，自1951年02月26日起施行法律法规； 1953年1月2日，《中华人民共和国劳动保险条例》经中央人民政府政务院修正）</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0436-5207980</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6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5.8遗属待遇申领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3.《中华人民共和国劳动保险条例》（1951年2月26，《中华人民共和国劳动保险条例》发布，自1951年02月26日起施行法律法规； 1953年1月2日，《中华人民共和国劳动保险条例》经中央人民政府政务院修正）</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25</w:t>
            </w:r>
          </w:p>
        </w:tc>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5.养老保险服务</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5.9病残津贴申领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3.《中华人民共和国劳动保险条例》（1951年2月26，《中华人民共和国劳动保险条例》发布，自1951年02月26日起施行法律法规； 1953年1月2日，《中华人民共和国劳动保险条例》经中央人民政府政务院修正）</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26</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5.10城镇职工基本养老保险关系转移接续申请</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3.《国务院办公厅关于转发人力资源社会保障部财政部城镇企业职工基本养老保险关系转移接续暂行办法的通知》（国办发﹝2009﹞66号）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27</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5.11机关事业单位养老保险关系转移接续申请</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3.《人力资源社会保障部财政部关于机关事业单位基本养老保险关系和职业年金转移接续有关问题的通知》（人社部规﹝2017﹞1号）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0436-5201118</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28</w:t>
            </w:r>
          </w:p>
        </w:tc>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5.养老保险服务</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5.12城乡居民基本养老保险关系转移接续申请</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3.《中华人民共和国劳动保险条例》（1951年2月26，《中华人民共和国劳动保险条例》发布，自1951年02月26日起施行法律法规； 1953年1月2日，《中华人民共和国劳动保险条例》经中央人民政府政务院修正）</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0436-5207980</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29</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5.13机关事业单位基本养老保险与城镇企业职工基本养老保险互转申请</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3.《人力资源社会保障部财政部关于机关事业单位基本养老保险关系和职业年金转移接续有关问题的通知》（人社部规﹝2017﹞1号）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0436-5201118</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5.14城镇职工基本养老保险与城乡居民基本养老保险制度衔接申请</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3.《人力资源社会保障部财政部关于印发＜城乡养老保险制度衔接暂行办法＞的通知》（人社部发﹝2014﹞17号）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0436-5207980</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4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31</w:t>
            </w:r>
          </w:p>
        </w:tc>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5.养老保险服务</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5.15军地养老保险关系转移接续申请</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3.《人力资源社会保障部财政部总参谋部总政治部总后勤部关于军人退役基本养老保险关系转移接续有关问题的通知》（后财﹝2015﹞1726号）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83"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32</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5.16多重养老保险关系个人账户退费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3.《人力资源和社会保障部＜关于贯彻落实国务院办公厅转发城镇企业职工基本养老保险关系转移接续暂行办法的通知》（人社部发﹝2009﹞187号）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0436-5201118</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33</w:t>
            </w:r>
          </w:p>
        </w:tc>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6.工伤保险服务</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6.1工伤事故备案</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3.《工伤保险条例》（中华人民共和国国务院令第586号）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34</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6.2用人单位办理工伤登记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3.《工伤保险条例》（中华人民共和国国务院令第586号）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6.3变更工伤登记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3.《工伤保险条例》（中华人民共和国国务院令第586号）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36</w:t>
            </w:r>
          </w:p>
        </w:tc>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6.工伤保险服务</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6.4协议医疗机构的确认</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3.《工伤保险条例》（中华人民共和国国务院令第586号）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37</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6.5协议康复机构的确认</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3.《工伤保险条例》（中华人民共和国国务院令第586号）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38</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6.6辅助器具配置协议机构的确认</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3.《工伤保险条例》（中华人民共和国国务院令第586号）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39</w:t>
            </w:r>
          </w:p>
        </w:tc>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6.工伤保险服务</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6.7异地居住就医申请确认</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3.《工伤保险条例》（中华人民共和国国务院令第586号）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40</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6.8异地工伤就医报告</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3.《工伤保险条例》（中华人民共和国国务院令第586号）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41</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6.9旧伤复发申请确认</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3.《工伤保险条例》（中华人民共和国国务院令第586号）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42</w:t>
            </w:r>
          </w:p>
        </w:tc>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6.工伤保险服务</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6.10转诊转院申请确认</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3.《工伤保险条例》（中华人民共和国国务院令第586号）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43</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6.11工伤康复申请确认</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3.《工伤保险条例》（中华人民共和国国务院令第586号）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44</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6.12工伤康复治疗期延长申请</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3.《工伤保险条例》（中华人民共和国国务院令第586号）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45</w:t>
            </w:r>
          </w:p>
        </w:tc>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6.工伤保险服务</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6.13辅助器具配置或更换申请</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3.《工伤保险条例》（中华人民共和国国务院令第586号）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46</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6.14辅助器具异地配置申请</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3.《工伤保险条例》（中华人民共和国国务院令第586号）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47</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6.15停工留薪期确认和延长确认</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3.《工伤保险条例》（中华人民共和国国务院令第586号）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48</w:t>
            </w:r>
          </w:p>
        </w:tc>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6.工伤保险服务</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6.16工伤医疗（康复）费用申报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3.《工伤保险条例》（中华人民共和国国务院令第586号）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49</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6.17住院伙食补助费申领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3.《工伤保险条例》（中华人民共和国国务院令第586号）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6.18统筹地区以外交通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、食宿费申领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3.《工伤保险条例》（中华人民共和国国务院令第586号）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51</w:t>
            </w:r>
          </w:p>
        </w:tc>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6.工伤保险服务</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6.19一次性工伤医疗补助金申请</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3.《工伤保险条例》（中华人民共和国国务院令第586号）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52</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6.20辅助器具配置（更换）费用申报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3.《工伤保险条例》（中华人民共和国国务院令第586号）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53</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6.21伤残待遇申领（一次性伤残补助金、伤残津贴和生活护理费）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3.《工伤保险条例》（中华人民共和国国务院令第586号）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54</w:t>
            </w:r>
          </w:p>
        </w:tc>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6.工伤保险服务</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6.22一次性工亡补助金（含生活困难，预支50%确认）、丧葬补助金申领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3.《工伤保险条例》（中华人民共和国国务院令第586号）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55</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6.23供养亲属抚恤金申领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3.《工伤保险条例》（中华人民共和国国务院令第586号）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56</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6.24工伤保险待遇变更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3.《工伤保险条例》（中华人民共和国国务院令第586号）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57</w:t>
            </w:r>
          </w:p>
        </w:tc>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7.失业保险服务</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7.1失业保险金申领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3.《失业保险条例》（中华人民共和国国务院令第258号）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58</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7.2丧葬补助金和抚恤金申领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3.《失业保险条例》（中华人民共和国国务院令第258号）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59</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7.3职业培训补贴申领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3.《失业保险条例》（中华人民共和国国务院令第258号）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60</w:t>
            </w:r>
          </w:p>
        </w:tc>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7.失业保险服务</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7.4职业介绍补贴申领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3.《失业保险条例》（中华人民共和国国务院令第258号）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61</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7.5农民合同制工人一次性生活补助申领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3.《失业保险条例》（中华人民共和国国务院令第258号）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62</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7.6代缴基本医疗保险费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3.《失业保险条例》（中华人民共和国国务院令第258号）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63</w:t>
            </w:r>
          </w:p>
        </w:tc>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7.失业保险服务</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7.7价格临时补贴申领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3.《失业保险条例》（中华人民共和国国务院令第258号）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64</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7.8失业保险关系转移接续</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3.《失业保险条例》（中华人民共和国国务院令第258号）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65</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7.9稳岗补贴申领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3.《失业保险条例》（中华人民共和国国务院令第258号）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66</w:t>
            </w:r>
          </w:p>
        </w:tc>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7.失业保险服务</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7.10技能提升补贴申领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3.《失业保险条例》（中华人民共和国国务院令第258号）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67</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7.11东部7省（市）扩大支出试点项目</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1.事项名称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2.事项简述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3.办理材料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4.办理方式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5.办理时限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6.结果送达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7.收费依据及标准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8.办事时间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9.办理机构及地点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10.咨询查询途径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11.监督投诉渠道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1.《中华人民共和国政府信息公开条例》（中华人民共和国国务院令第711号）                                             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3.《失业保险条例》（中华人民共和国国务院令第258号）</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■政府网站 □政府公报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□两微一端 □发布会/听证会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□广播电视 □纸质媒体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 ■政务服务中心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□便民服务站 □入户/现场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□精准推送 ■其他 </w:t>
            </w:r>
            <w:r>
              <w:rPr>
                <w:rFonts w:hint="eastAsia" w:ascii="仿宋_GB2312" w:hAnsi="仿宋_GB2312" w:eastAsia="仿宋_GB2312" w:cs="仿宋_GB2312"/>
                <w:i w:val="0"/>
                <w:color w:val="000000"/>
                <w:kern w:val="0"/>
                <w:sz w:val="18"/>
                <w:szCs w:val="18"/>
                <w:u w:val="single"/>
                <w:lang w:val="en-US" w:eastAsia="zh-CN" w:bidi="ar"/>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大安市长虹西路18-1号</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大安市社会保险事业管理局</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0436-5202155</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仿宋_GB2312" w:hAnsi="仿宋_GB2312" w:eastAsia="仿宋_GB2312" w:cs="仿宋_GB2312"/>
                <w:i w:val="0"/>
                <w:color w:val="000000"/>
                <w:kern w:val="0"/>
                <w:sz w:val="18"/>
                <w:szCs w:val="18"/>
                <w:u w:val="none"/>
                <w:lang w:val="en-US" w:eastAsia="zh-CN" w:bidi="ar"/>
              </w:rPr>
            </w:pPr>
            <w:r>
              <w:rPr>
                <w:rFonts w:ascii="仿宋_GB2312" w:hAnsi="宋体" w:eastAsia="仿宋_GB2312"/>
                <w:color w:val="000000"/>
                <w:sz w:val="18"/>
                <w:szCs w:val="18"/>
              </w:rPr>
              <w:t>68</w:t>
            </w:r>
          </w:p>
        </w:tc>
        <w:tc>
          <w:tcPr>
            <w:tcW w:w="5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olor w:val="000000"/>
                <w:sz w:val="18"/>
                <w:szCs w:val="18"/>
              </w:rPr>
              <w:t>企业年金方案备案</w:t>
            </w:r>
          </w:p>
        </w:tc>
        <w:tc>
          <w:tcPr>
            <w:tcW w:w="61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宋体" w:eastAsia="仿宋_GB2312"/>
                <w:color w:val="000000"/>
                <w:sz w:val="18"/>
                <w:szCs w:val="18"/>
              </w:rPr>
              <w:t>企业年金方案备案</w:t>
            </w:r>
          </w:p>
        </w:tc>
        <w:tc>
          <w:tcPr>
            <w:tcW w:w="122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left"/>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444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宋体" w:eastAsia="仿宋_GB2312"/>
                <w:color w:val="000000"/>
                <w:sz w:val="18"/>
                <w:szCs w:val="18"/>
              </w:rPr>
              <w:t>《政府信息公开条例》、《社会保险法》、《企业年金办法》</w:t>
            </w:r>
          </w:p>
        </w:tc>
        <w:tc>
          <w:tcPr>
            <w:tcW w:w="56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宋体" w:eastAsia="仿宋_GB2312"/>
                <w:color w:val="000000"/>
                <w:sz w:val="18"/>
                <w:szCs w:val="18"/>
              </w:rPr>
              <w:t>公开事项信息形成或变更之日起20个工作日内公开</w:t>
            </w:r>
          </w:p>
        </w:tc>
        <w:tc>
          <w:tcPr>
            <w:tcW w:w="47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宋体" w:eastAsia="仿宋_GB2312"/>
                <w:color w:val="000000"/>
                <w:sz w:val="18"/>
                <w:szCs w:val="18"/>
              </w:rPr>
              <w:t>人力资源社会保障部门</w:t>
            </w:r>
          </w:p>
        </w:tc>
        <w:tc>
          <w:tcPr>
            <w:tcW w:w="191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宋体" w:eastAsia="仿宋_GB2312"/>
                <w:color w:val="000000"/>
                <w:sz w:val="18"/>
                <w:szCs w:val="18"/>
              </w:rPr>
              <w:t>√</w:t>
            </w:r>
          </w:p>
        </w:tc>
        <w:tc>
          <w:tcPr>
            <w:tcW w:w="50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宋体" w:eastAsia="仿宋_GB2312"/>
                <w:color w:val="000000"/>
                <w:sz w:val="18"/>
                <w:szCs w:val="18"/>
              </w:rPr>
              <w:t>　</w:t>
            </w:r>
          </w:p>
        </w:tc>
        <w:tc>
          <w:tcPr>
            <w:tcW w:w="11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宋体" w:eastAsia="仿宋_GB2312"/>
                <w:color w:val="000000"/>
                <w:sz w:val="18"/>
                <w:szCs w:val="18"/>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宋体" w:eastAsia="仿宋_GB2312"/>
                <w:color w:val="000000"/>
                <w:sz w:val="18"/>
                <w:szCs w:val="18"/>
              </w:rPr>
              <w:t>　</w:t>
            </w:r>
          </w:p>
        </w:tc>
        <w:tc>
          <w:tcPr>
            <w:tcW w:w="49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olor w:val="000000"/>
                <w:sz w:val="18"/>
                <w:szCs w:val="18"/>
              </w:rPr>
              <w:t>√</w:t>
            </w:r>
          </w:p>
        </w:tc>
        <w:tc>
          <w:tcPr>
            <w:tcW w:w="37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宋体" w:eastAsia="仿宋_GB2312"/>
                <w:color w:val="000000"/>
                <w:sz w:val="18"/>
                <w:szCs w:val="18"/>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仿宋_GB2312" w:hAnsi="仿宋_GB2312" w:eastAsia="仿宋_GB2312" w:cs="仿宋_GB2312"/>
                <w:i w:val="0"/>
                <w:color w:val="000000"/>
                <w:sz w:val="18"/>
                <w:szCs w:val="18"/>
                <w:u w:val="none"/>
              </w:rPr>
            </w:pPr>
            <w:r>
              <w:rPr>
                <w:rFonts w:ascii="仿宋_GB2312" w:hAnsi="宋体" w:eastAsia="仿宋_GB2312"/>
                <w:color w:val="000000"/>
                <w:sz w:val="18"/>
                <w:szCs w:val="18"/>
              </w:rPr>
              <w:t>68</w:t>
            </w:r>
          </w:p>
        </w:tc>
        <w:tc>
          <w:tcPr>
            <w:tcW w:w="4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宋体" w:eastAsia="仿宋_GB2312"/>
                <w:color w:val="000000"/>
                <w:sz w:val="18"/>
                <w:szCs w:val="18"/>
              </w:rPr>
              <w:t>企业年金方案备案</w:t>
            </w:r>
          </w:p>
        </w:tc>
        <w:tc>
          <w:tcPr>
            <w:tcW w:w="23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hint="eastAsia" w:ascii="仿宋_GB2312" w:hAnsi="仿宋_GB2312" w:eastAsia="仿宋_GB2312" w:cs="仿宋_GB2312"/>
                <w:i w:val="0"/>
                <w:color w:val="000000"/>
                <w:sz w:val="18"/>
                <w:szCs w:val="18"/>
                <w:u w:val="none"/>
              </w:rPr>
            </w:pPr>
            <w:r>
              <w:rPr>
                <w:rFonts w:hint="eastAsia" w:ascii="仿宋_GB2312" w:hAnsi="宋体" w:eastAsia="仿宋_GB2312"/>
                <w:color w:val="000000"/>
                <w:sz w:val="18"/>
                <w:szCs w:val="18"/>
              </w:rPr>
              <w:t>企业年金方案备案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仿宋_GB2312" w:hAnsi="仿宋_GB2312" w:eastAsia="仿宋_GB2312" w:cs="仿宋_GB2312"/>
                <w:i w:val="0"/>
                <w:color w:val="000000"/>
                <w:kern w:val="0"/>
                <w:sz w:val="18"/>
                <w:szCs w:val="18"/>
                <w:u w:val="none"/>
                <w:lang w:val="en-US" w:eastAsia="zh-CN" w:bidi="ar"/>
              </w:rPr>
            </w:pPr>
            <w:r>
              <w:rPr>
                <w:rFonts w:ascii="仿宋_GB2312" w:hAnsi="宋体" w:eastAsia="仿宋_GB2312"/>
                <w:color w:val="000000"/>
                <w:sz w:val="18"/>
                <w:szCs w:val="18"/>
              </w:rPr>
              <w:t>69</w:t>
            </w:r>
          </w:p>
        </w:tc>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olor w:val="000000"/>
                <w:sz w:val="18"/>
                <w:szCs w:val="18"/>
              </w:rPr>
              <w:t>企业年金方案备案</w:t>
            </w:r>
          </w:p>
        </w:tc>
        <w:tc>
          <w:tcPr>
            <w:tcW w:w="61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宋体" w:eastAsia="仿宋_GB2312"/>
                <w:color w:val="000000"/>
                <w:sz w:val="18"/>
                <w:szCs w:val="18"/>
              </w:rPr>
              <w:t>企业年金方案重要条款变更备案</w:t>
            </w:r>
          </w:p>
        </w:tc>
        <w:tc>
          <w:tcPr>
            <w:tcW w:w="122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left"/>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4442"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宋体" w:eastAsia="仿宋_GB2312"/>
                <w:color w:val="000000"/>
                <w:sz w:val="18"/>
                <w:szCs w:val="18"/>
              </w:rPr>
              <w:t>《政府信息公开条例》、《社会保险法》、《企业年金办法》</w:t>
            </w:r>
          </w:p>
        </w:tc>
        <w:tc>
          <w:tcPr>
            <w:tcW w:w="561"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宋体" w:eastAsia="仿宋_GB2312"/>
                <w:color w:val="000000"/>
                <w:sz w:val="18"/>
                <w:szCs w:val="18"/>
              </w:rPr>
              <w:t>公开事项信息形成或变更之日起20个工作日内公开</w:t>
            </w:r>
          </w:p>
        </w:tc>
        <w:tc>
          <w:tcPr>
            <w:tcW w:w="47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宋体" w:eastAsia="仿宋_GB2312"/>
                <w:color w:val="000000"/>
                <w:sz w:val="18"/>
                <w:szCs w:val="18"/>
              </w:rPr>
              <w:t>人力资源社会保障部门</w:t>
            </w:r>
          </w:p>
        </w:tc>
        <w:tc>
          <w:tcPr>
            <w:tcW w:w="191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宋体" w:eastAsia="仿宋_GB2312"/>
                <w:color w:val="000000"/>
                <w:sz w:val="18"/>
                <w:szCs w:val="18"/>
              </w:rPr>
              <w:t>√</w:t>
            </w:r>
          </w:p>
        </w:tc>
        <w:tc>
          <w:tcPr>
            <w:tcW w:w="50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宋体" w:eastAsia="仿宋_GB2312"/>
                <w:color w:val="000000"/>
                <w:sz w:val="18"/>
                <w:szCs w:val="18"/>
              </w:rPr>
              <w:t>　</w:t>
            </w:r>
          </w:p>
        </w:tc>
        <w:tc>
          <w:tcPr>
            <w:tcW w:w="11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宋体" w:eastAsia="仿宋_GB2312"/>
                <w:color w:val="000000"/>
                <w:sz w:val="18"/>
                <w:szCs w:val="18"/>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宋体" w:eastAsia="仿宋_GB2312"/>
                <w:color w:val="000000"/>
                <w:sz w:val="18"/>
                <w:szCs w:val="18"/>
              </w:rPr>
              <w:t>　</w:t>
            </w:r>
          </w:p>
        </w:tc>
        <w:tc>
          <w:tcPr>
            <w:tcW w:w="49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olor w:val="000000"/>
                <w:sz w:val="18"/>
                <w:szCs w:val="18"/>
              </w:rPr>
              <w:t>√</w:t>
            </w:r>
          </w:p>
        </w:tc>
        <w:tc>
          <w:tcPr>
            <w:tcW w:w="37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宋体" w:eastAsia="仿宋_GB2312"/>
                <w:color w:val="000000"/>
                <w:sz w:val="18"/>
                <w:szCs w:val="18"/>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仿宋_GB2312" w:hAnsi="仿宋_GB2312" w:eastAsia="仿宋_GB2312" w:cs="仿宋_GB2312"/>
                <w:i w:val="0"/>
                <w:color w:val="000000"/>
                <w:sz w:val="18"/>
                <w:szCs w:val="18"/>
                <w:u w:val="none"/>
              </w:rPr>
            </w:pPr>
            <w:r>
              <w:rPr>
                <w:rFonts w:ascii="仿宋_GB2312" w:hAnsi="宋体" w:eastAsia="仿宋_GB2312"/>
                <w:color w:val="000000"/>
                <w:sz w:val="18"/>
                <w:szCs w:val="18"/>
              </w:rPr>
              <w:t>69</w:t>
            </w:r>
          </w:p>
        </w:tc>
        <w:tc>
          <w:tcPr>
            <w:tcW w:w="44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宋体" w:eastAsia="仿宋_GB2312"/>
                <w:color w:val="000000"/>
                <w:sz w:val="18"/>
                <w:szCs w:val="18"/>
              </w:rPr>
              <w:t>企业年金方案备案</w:t>
            </w:r>
          </w:p>
        </w:tc>
        <w:tc>
          <w:tcPr>
            <w:tcW w:w="23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hint="eastAsia" w:ascii="仿宋_GB2312" w:hAnsi="仿宋_GB2312" w:eastAsia="仿宋_GB2312" w:cs="仿宋_GB2312"/>
                <w:i w:val="0"/>
                <w:color w:val="000000"/>
                <w:sz w:val="18"/>
                <w:szCs w:val="18"/>
                <w:u w:val="none"/>
              </w:rPr>
            </w:pPr>
            <w:r>
              <w:rPr>
                <w:rFonts w:hint="eastAsia" w:ascii="仿宋_GB2312" w:hAnsi="宋体" w:eastAsia="仿宋_GB2312"/>
                <w:color w:val="000000"/>
                <w:sz w:val="18"/>
                <w:szCs w:val="18"/>
              </w:rPr>
              <w:t>企业年金方案重要条款变更备案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90" w:hRule="atLeast"/>
          <w:jc w:val="center"/>
        </w:trPr>
        <w:tc>
          <w:tcPr>
            <w:tcW w:w="3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仿宋_GB2312" w:hAnsi="仿宋_GB2312" w:eastAsia="仿宋_GB2312" w:cs="仿宋_GB2312"/>
                <w:i w:val="0"/>
                <w:color w:val="000000"/>
                <w:kern w:val="0"/>
                <w:sz w:val="18"/>
                <w:szCs w:val="18"/>
                <w:u w:val="none"/>
                <w:lang w:val="en-US" w:eastAsia="zh-CN" w:bidi="ar"/>
              </w:rPr>
            </w:pPr>
            <w:r>
              <w:rPr>
                <w:rFonts w:ascii="仿宋_GB2312" w:hAnsi="宋体" w:eastAsia="仿宋_GB2312"/>
                <w:color w:val="000000"/>
                <w:sz w:val="18"/>
                <w:szCs w:val="18"/>
              </w:rPr>
              <w:t>70</w:t>
            </w: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hint="eastAsia" w:ascii="仿宋_GB2312" w:hAnsi="仿宋_GB2312" w:eastAsia="仿宋_GB2312" w:cs="仿宋_GB2312"/>
                <w:i w:val="0"/>
                <w:color w:val="000000"/>
                <w:sz w:val="18"/>
                <w:szCs w:val="18"/>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宋体" w:eastAsia="仿宋_GB2312"/>
                <w:color w:val="000000"/>
                <w:sz w:val="18"/>
                <w:szCs w:val="18"/>
              </w:rPr>
              <w:t>企业年金方案终止备案</w:t>
            </w: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left"/>
              <w:rPr>
                <w:rFonts w:hint="eastAsia" w:ascii="仿宋_GB2312" w:hAnsi="仿宋_GB2312" w:eastAsia="仿宋_GB2312" w:cs="仿宋_GB2312"/>
                <w:i w:val="0"/>
                <w:color w:val="000000"/>
                <w:kern w:val="0"/>
                <w:sz w:val="18"/>
                <w:szCs w:val="18"/>
                <w:u w:val="none"/>
                <w:lang w:val="en-US" w:eastAsia="zh-CN" w:bidi="ar"/>
              </w:rPr>
            </w:pPr>
          </w:p>
        </w:tc>
        <w:tc>
          <w:tcPr>
            <w:tcW w:w="444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hint="eastAsia" w:ascii="仿宋_GB2312" w:hAnsi="仿宋_GB2312" w:eastAsia="仿宋_GB2312" w:cs="仿宋_GB2312"/>
                <w:i w:val="0"/>
                <w:color w:val="000000"/>
                <w:kern w:val="0"/>
                <w:sz w:val="18"/>
                <w:szCs w:val="18"/>
                <w:u w:val="none"/>
                <w:lang w:val="en-US" w:eastAsia="zh-CN" w:bidi="ar"/>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hint="eastAsia" w:ascii="仿宋_GB2312" w:hAnsi="仿宋_GB2312" w:eastAsia="仿宋_GB2312" w:cs="仿宋_GB2312"/>
                <w:i w:val="0"/>
                <w:color w:val="000000"/>
                <w:kern w:val="0"/>
                <w:sz w:val="18"/>
                <w:szCs w:val="18"/>
                <w:u w:val="none"/>
                <w:lang w:val="en-US" w:eastAsia="zh-CN" w:bidi="ar"/>
              </w:rPr>
            </w:pPr>
          </w:p>
        </w:tc>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hint="eastAsia" w:ascii="仿宋_GB2312" w:hAnsi="仿宋_GB2312" w:eastAsia="仿宋_GB2312" w:cs="仿宋_GB2312"/>
                <w:i w:val="0"/>
                <w:color w:val="000000"/>
                <w:kern w:val="0"/>
                <w:sz w:val="18"/>
                <w:szCs w:val="18"/>
                <w:u w:val="none"/>
                <w:lang w:val="en-US" w:eastAsia="zh-CN" w:bidi="ar"/>
              </w:rPr>
            </w:pPr>
          </w:p>
        </w:tc>
        <w:tc>
          <w:tcPr>
            <w:tcW w:w="19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hint="eastAsia" w:ascii="仿宋_GB2312" w:hAnsi="仿宋_GB2312" w:eastAsia="仿宋_GB2312" w:cs="仿宋_GB2312"/>
                <w:i w:val="0"/>
                <w:color w:val="000000"/>
                <w:kern w:val="0"/>
                <w:sz w:val="18"/>
                <w:szCs w:val="18"/>
                <w:u w:val="none"/>
                <w:lang w:val="en-US" w:eastAsia="zh-CN" w:bidi="ar"/>
              </w:rPr>
            </w:pPr>
          </w:p>
        </w:tc>
        <w:tc>
          <w:tcPr>
            <w:tcW w:w="5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宋体" w:eastAsia="仿宋_GB2312"/>
                <w:color w:val="000000"/>
                <w:sz w:val="18"/>
                <w:szCs w:val="18"/>
              </w:rPr>
              <w:t>√</w:t>
            </w:r>
          </w:p>
        </w:tc>
        <w:tc>
          <w:tcPr>
            <w:tcW w:w="50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宋体" w:eastAsia="仿宋_GB2312"/>
                <w:color w:val="000000"/>
                <w:sz w:val="18"/>
                <w:szCs w:val="18"/>
              </w:rPr>
              <w:t>　</w:t>
            </w:r>
          </w:p>
        </w:tc>
        <w:tc>
          <w:tcPr>
            <w:tcW w:w="11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宋体" w:eastAsia="仿宋_GB2312"/>
                <w:color w:val="000000"/>
                <w:sz w:val="18"/>
                <w:szCs w:val="18"/>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宋体" w:eastAsia="仿宋_GB2312"/>
                <w:color w:val="000000"/>
                <w:sz w:val="18"/>
                <w:szCs w:val="18"/>
              </w:rPr>
              <w:t>　</w:t>
            </w:r>
          </w:p>
        </w:tc>
        <w:tc>
          <w:tcPr>
            <w:tcW w:w="49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olor w:val="000000"/>
                <w:sz w:val="18"/>
                <w:szCs w:val="18"/>
              </w:rPr>
              <w:t>√</w:t>
            </w:r>
          </w:p>
        </w:tc>
        <w:tc>
          <w:tcPr>
            <w:tcW w:w="37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宋体" w:eastAsia="仿宋_GB2312"/>
                <w:color w:val="000000"/>
                <w:sz w:val="18"/>
                <w:szCs w:val="18"/>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仿宋_GB2312" w:hAnsi="仿宋_GB2312" w:eastAsia="仿宋_GB2312" w:cs="仿宋_GB2312"/>
                <w:i w:val="0"/>
                <w:color w:val="000000"/>
                <w:sz w:val="18"/>
                <w:szCs w:val="18"/>
                <w:u w:val="none"/>
              </w:rPr>
            </w:pPr>
            <w:r>
              <w:rPr>
                <w:rFonts w:ascii="仿宋_GB2312" w:hAnsi="宋体" w:eastAsia="仿宋_GB2312"/>
                <w:color w:val="000000"/>
                <w:sz w:val="18"/>
                <w:szCs w:val="18"/>
              </w:rPr>
              <w:t>70</w:t>
            </w:r>
          </w:p>
        </w:tc>
        <w:tc>
          <w:tcPr>
            <w:tcW w:w="4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hint="eastAsia" w:ascii="仿宋_GB2312" w:hAnsi="仿宋_GB2312" w:eastAsia="仿宋_GB2312" w:cs="仿宋_GB2312"/>
                <w:i w:val="0"/>
                <w:color w:val="000000"/>
                <w:kern w:val="0"/>
                <w:sz w:val="18"/>
                <w:szCs w:val="18"/>
                <w:u w:val="none"/>
                <w:lang w:val="en-US" w:eastAsia="zh-CN" w:bidi="ar"/>
              </w:rPr>
            </w:pPr>
          </w:p>
        </w:tc>
        <w:tc>
          <w:tcPr>
            <w:tcW w:w="23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hint="eastAsia" w:ascii="仿宋_GB2312" w:hAnsi="仿宋_GB2312" w:eastAsia="仿宋_GB2312" w:cs="仿宋_GB2312"/>
                <w:i w:val="0"/>
                <w:color w:val="000000"/>
                <w:sz w:val="18"/>
                <w:szCs w:val="18"/>
                <w:u w:val="none"/>
              </w:rPr>
            </w:pPr>
            <w:r>
              <w:rPr>
                <w:rFonts w:hint="eastAsia" w:ascii="仿宋_GB2312" w:hAnsi="宋体" w:eastAsia="仿宋_GB2312"/>
                <w:color w:val="000000"/>
                <w:sz w:val="18"/>
                <w:szCs w:val="18"/>
              </w:rPr>
              <w:t>企业年金方案终止备案</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egoe Print"/>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PMingLiU">
    <w:altName w:val="Microsoft JhengHei UI"/>
    <w:panose1 w:val="02020500000000000000"/>
    <w:charset w:val="88"/>
    <w:family w:val="auto"/>
    <w:pitch w:val="default"/>
    <w:sig w:usb0="00000000" w:usb1="00000000" w:usb2="00000016" w:usb3="00000000" w:csb0="00100001" w:csb1="00000000"/>
  </w:font>
  <w:font w:name="Arial">
    <w:panose1 w:val="020B0604020202020204"/>
    <w:charset w:val="00"/>
    <w:family w:val="auto"/>
    <w:pitch w:val="default"/>
    <w:sig w:usb0="E0002EFF" w:usb1="C000785B" w:usb2="00000009" w:usb3="00000000" w:csb0="400001FF" w:csb1="FFFF0000"/>
  </w:font>
  <w:font w:name="文星标宋">
    <w:altName w:val="微软雅黑"/>
    <w:panose1 w:val="02010604000101010101"/>
    <w:charset w:val="86"/>
    <w:family w:val="auto"/>
    <w:pitch w:val="default"/>
    <w:sig w:usb0="00000000" w:usb1="00000000" w:usb2="00000000"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东文宋体">
    <w:altName w:val="宋体"/>
    <w:panose1 w:val="00000000000000000000"/>
    <w:charset w:val="00"/>
    <w:family w:val="auto"/>
    <w:pitch w:val="default"/>
    <w:sig w:usb0="00000000" w:usb1="00000000" w:usb2="00000000" w:usb3="00000000" w:csb0="00000000" w:csb1="00000000"/>
  </w:font>
  <w:font w:name="Calibri Light">
    <w:altName w:val="Segoe Print"/>
    <w:panose1 w:val="020F0302020204030204"/>
    <w:charset w:val="00"/>
    <w:family w:val="swiss"/>
    <w:pitch w:val="default"/>
    <w:sig w:usb0="00000000" w:usb1="00000000" w:usb2="00000009" w:usb3="00000000" w:csb0="200001FF" w:csb1="00000000"/>
  </w:font>
  <w:font w:name="等线">
    <w:altName w:val="宋体"/>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PMingLiU-ExtB">
    <w:altName w:val="Microsoft JhengHei UI"/>
    <w:panose1 w:val="02020500000000000000"/>
    <w:charset w:val="88"/>
    <w:family w:val="auto"/>
    <w:pitch w:val="default"/>
    <w:sig w:usb0="00000000" w:usb1="00000000" w:usb2="00000000" w:usb3="00000000" w:csb0="00100001" w:csb1="00000000"/>
  </w:font>
  <w:font w:name="楷体">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DB508D"/>
    <w:rsid w:val="44DB508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iPriority w:val="0"/>
    <w:pPr>
      <w:spacing w:after="0"/>
      <w:ind w:firstLine="200" w:firstLineChars="200"/>
    </w:pPr>
    <w:rPr>
      <w:rFonts w:ascii="Calibri" w:hAnsi="Calibri" w:eastAsia="宋体" w:cs="Times New Roman"/>
      <w:lang w:bidi="ar-SA"/>
    </w:rPr>
  </w:style>
  <w:style w:type="paragraph" w:styleId="3">
    <w:name w:val="Body Text Indent"/>
    <w:basedOn w:val="1"/>
    <w:next w:val="4"/>
    <w:uiPriority w:val="0"/>
    <w:pPr>
      <w:spacing w:after="120"/>
      <w:ind w:left="200" w:leftChars="200"/>
    </w:pPr>
    <w:rPr>
      <w:rFonts w:eastAsia="宋体"/>
      <w:sz w:val="21"/>
    </w:rPr>
  </w:style>
  <w:style w:type="paragraph" w:styleId="4">
    <w:name w:val="Normal Indent"/>
    <w:basedOn w:val="1"/>
    <w:uiPriority w:val="0"/>
    <w:pPr>
      <w:ind w:firstLine="200" w:firstLineChars="200"/>
    </w:pPr>
    <w:rPr>
      <w:rFonts w:eastAsia="仿宋"/>
      <w:sz w:val="32"/>
    </w:rPr>
  </w:style>
  <w:style w:type="character" w:customStyle="1" w:styleId="8">
    <w:name w:val="font41"/>
    <w:basedOn w:val="6"/>
    <w:qFormat/>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2020-12-16T13:15:00Z</dcterms:created>
  <dc:creator>Administrator</dc:creator>
  <cp:lastModifiedBy>Administrator</cp:lastModifiedBy>
  <dcterms:modified xsi:type="dcterms:W3CDTF">2020-12-16T13:16:13Z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