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Style w:val="3"/>
        <w:tblW w:w="15390"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305"/>
        <w:gridCol w:w="659"/>
        <w:gridCol w:w="1770"/>
        <w:gridCol w:w="4086"/>
        <w:gridCol w:w="7348"/>
        <w:gridCol w:w="222"/>
      </w:tblGrid>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930" w:hRule="atLeast"/>
        </w:trPr>
        <w:tc>
          <w:tcPr>
            <w:tcW w:w="1305" w:type="dxa"/>
            <w:tcBorders>
              <w:left w:val="nil"/>
              <w:right w:val="nil"/>
            </w:tcBorders>
            <w:shd w:val="clear" w:color="auto" w:fill="auto"/>
            <w:vAlign w:val="center"/>
          </w:tcPr>
          <w:p>
            <w:pPr>
              <w:jc w:val="center"/>
              <w:rPr>
                <w:rFonts w:hint="eastAsia" w:ascii="宋体" w:hAnsi="宋体" w:eastAsia="宋体" w:cs="宋体"/>
                <w:i w:val="0"/>
                <w:color w:val="000000"/>
                <w:sz w:val="24"/>
                <w:szCs w:val="24"/>
                <w:u w:val="none"/>
              </w:rPr>
            </w:pPr>
          </w:p>
        </w:tc>
        <w:tc>
          <w:tcPr>
            <w:tcW w:w="14085" w:type="dxa"/>
            <w:gridSpan w:val="5"/>
            <w:tcBorders>
              <w:left w:val="nil"/>
              <w:right w:val="nil"/>
            </w:tcBorders>
            <w:shd w:val="clear" w:color="auto" w:fill="auto"/>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color w:val="000000"/>
                <w:sz w:val="40"/>
                <w:szCs w:val="40"/>
                <w:u w:val="none"/>
              </w:rPr>
            </w:pPr>
            <w:r>
              <w:rPr>
                <w:rFonts w:hint="default" w:ascii="方正小标宋简体" w:hAnsi="方正小标宋简体" w:eastAsia="方正小标宋简体" w:cs="方正小标宋简体"/>
                <w:i w:val="0"/>
                <w:color w:val="000000"/>
                <w:kern w:val="0"/>
                <w:sz w:val="40"/>
                <w:szCs w:val="40"/>
                <w:u w:val="none"/>
                <w:lang w:val="en-US" w:eastAsia="zh-CN" w:bidi="ar"/>
              </w:rPr>
              <w:t>大安市联合检查事项清单</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1000"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单位</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序号</w:t>
            </w:r>
          </w:p>
        </w:tc>
        <w:tc>
          <w:tcPr>
            <w:tcW w:w="177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0" w:lineRule="atLeast"/>
              <w:ind w:left="0" w:leftChars="0" w:right="0" w:rightChars="0" w:firstLine="0" w:firstLineChars="0"/>
              <w:jc w:val="center"/>
              <w:textAlignment w:val="center"/>
              <w:outlineLvl w:val="9"/>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与本部门联合抽查的部门</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联合抽查的市场主体</w:t>
            </w:r>
          </w:p>
        </w:tc>
        <w:tc>
          <w:tcPr>
            <w:tcW w:w="757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u w:val="none"/>
              </w:rPr>
            </w:pPr>
            <w:r>
              <w:rPr>
                <w:rFonts w:hint="eastAsia" w:ascii="宋体" w:hAnsi="宋体" w:eastAsia="宋体" w:cs="宋体"/>
                <w:b/>
                <w:i w:val="0"/>
                <w:color w:val="000000"/>
                <w:kern w:val="0"/>
                <w:sz w:val="28"/>
                <w:szCs w:val="28"/>
                <w:u w:val="none"/>
                <w:lang w:val="en-US" w:eastAsia="zh-CN" w:bidi="ar"/>
              </w:rPr>
              <w:t>本部门参加联合抽查的主要事项</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285"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财政局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77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物价局、民政局</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非税收入收缴部门</w:t>
            </w:r>
          </w:p>
        </w:tc>
        <w:tc>
          <w:tcPr>
            <w:tcW w:w="757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非税收入是否及时缴库？取消的行政事业型收费是否还在征收？</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trHeight w:val="3965"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粮食和商务局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77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市场监管局、物价局、卫计局</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粮食经营者</w:t>
            </w:r>
          </w:p>
        </w:tc>
        <w:tc>
          <w:tcPr>
            <w:tcW w:w="757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粮食收购者的粮食收购资格，及其在粮食收购活动中执行国家有关法律、法规、规章和粮食收购政策情况。2.粮食经营者使用的粮食仓储设施、设备的质量和标准情况。3.粮食经营者在粮食收购、储存活动中，执行国家粮食质量标准和国家有关粮食仓储技术标准、规范情况，其收购、储存的原粮是否符合国家有关标准和规定。4.粮食经营者执行国家粮食运输技术标准和规范情况。5.粮食储存企业建立并执行粮食销售出库质量检验制度情况。6.从事粮食收购、加工、销售的经营者执行省级人民政府制定的最低和最高库存量规定的情况。7.粮食经营者执行国家陈化粮销售处理有关规定情况。8.地方储备粮经营管理机构及地方储备粮承储企业执行地方储备粮管理有关政策和规定情况；地方储备粮的数量、质量、储存安全以及轮换计划执行情况；各项规章制度、标准与规范执行情况，以及地方储备粮承储企业的承储资格情况。9.从事军粮供应、退耕还林粮食供应、水库移民粮食供应、救灾粮供应等政策性用粮经营活动的粮食经营者执行有关法律、法规、规章和政策情况。10.粮食经营者建立粮食经营台账，执行国家粮食流通统计制度情况。11.粮食经营者依照粮食应急预案规定，承担相应义务，执行相关规定情况。12.法律、法规、规章和政策规定需要进行监督检查的其他内容。</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Ex>
        <w:trPr>
          <w:trHeight w:val="1785"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环保局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77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公安局</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燃煤重点涉气企业；2、重点流域涉水排污企业，饮用水水源保护区、自然保护区等环境敏感区域内违法违规建设项目，垃圾渗滤液处理处置单位；3、医疗卫生行业机构化验室，产生、贮存、运输、处置有毒有害物质和危险废物的企事业单位；4、违法焚烧农业废弃物影响大气环境质量的行为者。</w:t>
            </w:r>
          </w:p>
        </w:tc>
        <w:tc>
          <w:tcPr>
            <w:tcW w:w="7570" w:type="dxa"/>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偷排偷放、非法处置有毒有害物质和危险废物，故意不正常使用防治污染设施造成超标、超总量排污等恶意违法行为；2、伪造或篡改环境监测数据，以及污染源在线监控、防治污染设施运营维护等领域弄虚作假行为；3、拒不执行环境违法行政处罚决定，阻碍或以暴力、威胁等方式阻碍环保工作人员依法执行职务的恶劣行为。</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gridAfter w:val="1"/>
          <w:wAfter w:w="222" w:type="dxa"/>
          <w:trHeight w:val="285"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国税局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77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地税局</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企业</w:t>
            </w:r>
          </w:p>
        </w:tc>
        <w:tc>
          <w:tcPr>
            <w:tcW w:w="734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企业涉税问题</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gridAfter w:val="1"/>
          <w:wAfter w:w="222" w:type="dxa"/>
          <w:trHeight w:val="900" w:hRule="atLeast"/>
        </w:trPr>
        <w:tc>
          <w:tcPr>
            <w:tcW w:w="130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盐务局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77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粮商局、公安局、卫计局、市场监管局</w:t>
            </w:r>
          </w:p>
        </w:tc>
        <w:tc>
          <w:tcPr>
            <w:tcW w:w="408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制酱腌菜户、工业用盐户、学校、工厂、工地、集体食堂、集贸市场、大型商超、干鲜批发、物流货站、食杂店、居民户、饲料加工企业、畜牧养殖以及饲料、兽药店</w:t>
            </w:r>
          </w:p>
        </w:tc>
        <w:tc>
          <w:tcPr>
            <w:tcW w:w="7348"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销售使用的食盐是否合格、是否从当地盐业公司购买</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gridAfter w:val="1"/>
          <w:wAfter w:w="222" w:type="dxa"/>
          <w:trHeight w:val="900" w:hRule="atLeast"/>
        </w:trPr>
        <w:tc>
          <w:tcPr>
            <w:tcW w:w="1305"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安监局</w:t>
            </w: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1770"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公安局</w:t>
            </w:r>
          </w:p>
        </w:tc>
        <w:tc>
          <w:tcPr>
            <w:tcW w:w="4086"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1、烟花爆竹经营企业；2、危化企业</w:t>
            </w:r>
          </w:p>
        </w:tc>
        <w:tc>
          <w:tcPr>
            <w:tcW w:w="7348"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烟花爆竹非法经营；危化品道路运输</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gridAfter w:val="1"/>
          <w:wAfter w:w="222" w:type="dxa"/>
          <w:trHeight w:val="900" w:hRule="atLeast"/>
        </w:trPr>
        <w:tc>
          <w:tcPr>
            <w:tcW w:w="1305"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w:t>
            </w:r>
          </w:p>
        </w:tc>
        <w:tc>
          <w:tcPr>
            <w:tcW w:w="1770"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交通局</w:t>
            </w:r>
          </w:p>
        </w:tc>
        <w:tc>
          <w:tcPr>
            <w:tcW w:w="4086"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1、危化企业</w:t>
            </w:r>
          </w:p>
        </w:tc>
        <w:tc>
          <w:tcPr>
            <w:tcW w:w="7348"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危化品道路运输</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Ex>
        <w:trPr>
          <w:gridAfter w:val="1"/>
          <w:wAfter w:w="222" w:type="dxa"/>
          <w:trHeight w:val="900" w:hRule="atLeast"/>
        </w:trPr>
        <w:tc>
          <w:tcPr>
            <w:tcW w:w="1305"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p>
        </w:tc>
        <w:tc>
          <w:tcPr>
            <w:tcW w:w="6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w:t>
            </w:r>
            <w:bookmarkStart w:id="0" w:name="_GoBack"/>
            <w:bookmarkEnd w:id="0"/>
          </w:p>
        </w:tc>
        <w:tc>
          <w:tcPr>
            <w:tcW w:w="1770"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市场监督管理局</w:t>
            </w:r>
          </w:p>
        </w:tc>
        <w:tc>
          <w:tcPr>
            <w:tcW w:w="4086"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1、危化企业</w:t>
            </w:r>
          </w:p>
        </w:tc>
        <w:tc>
          <w:tcPr>
            <w:tcW w:w="7348" w:type="dxa"/>
            <w:tcBorders>
              <w:tl2br w:val="nil"/>
              <w:tr2bl w:val="nil"/>
            </w:tcBorders>
            <w:shd w:val="clear" w:color="auto" w:fill="auto"/>
            <w:textDirection w:val="lrTb"/>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压力容器使用</w:t>
            </w:r>
          </w:p>
        </w:tc>
      </w:tr>
    </w:tbl>
    <w:p>
      <w:pPr/>
    </w:p>
    <w:sectPr>
      <w:pgSz w:w="16838" w:h="11906" w:orient="landscape"/>
      <w:pgMar w:top="669" w:right="873" w:bottom="669" w:left="873" w:header="851" w:footer="992" w:gutter="0"/>
      <w:pgBorders w:offsetFrom="page">
        <w:top w:val="none" w:color="auto" w:sz="0" w:space="0"/>
        <w:left w:val="none" w:color="auto" w:sz="0" w:space="0"/>
        <w:bottom w:val="none" w:color="auto" w:sz="0" w:space="0"/>
        <w:right w:val="none" w:color="auto" w:sz="0" w:space="0"/>
      </w:pgBorders>
      <w:cols w:space="0" w:num="1"/>
      <w:rtlGutter w:val="0"/>
      <w:docGrid w:type="lines" w:linePitch="3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swiss"/>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modern"/>
    <w:pitch w:val="default"/>
    <w:sig w:usb0="00000000" w:usb1="00000000" w:usb2="00000000" w:usb3="00000000" w:csb0="0000019F" w:csb1="00000000"/>
  </w:font>
  <w:font w:name="Calibri">
    <w:altName w:val="Lucida Sans"/>
    <w:panose1 w:val="020F0502020204030204"/>
    <w:charset w:val="00"/>
    <w:family w:val="decorative"/>
    <w:pitch w:val="default"/>
    <w:sig w:usb0="00000000" w:usb1="00000000" w:usb2="00000001" w:usb3="00000000" w:csb0="0000019F"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altName w:val="Palatino Linotype"/>
    <w:panose1 w:val="02040503050406030204"/>
    <w:charset w:val="00"/>
    <w:family w:val="swiss"/>
    <w:pitch w:val="default"/>
    <w:sig w:usb0="00000000" w:usb1="00000000" w:usb2="00000000" w:usb3="00000000" w:csb0="0000019F" w:csb1="00000000"/>
  </w:font>
  <w:font w:name="Calibri">
    <w:altName w:val="Lucida Sans"/>
    <w:panose1 w:val="020F0502020204030204"/>
    <w:charset w:val="00"/>
    <w:family w:val="roman"/>
    <w:pitch w:val="default"/>
    <w:sig w:usb0="00000000" w:usb1="00000000" w:usb2="00000001" w:usb3="00000000" w:csb0="0000019F" w:csb1="0000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Cambria">
    <w:altName w:val="Palatino Linotype"/>
    <w:panose1 w:val="02040503050406030204"/>
    <w:charset w:val="00"/>
    <w:family w:val="decorative"/>
    <w:pitch w:val="default"/>
    <w:sig w:usb0="00000000" w:usb1="00000000" w:usb2="00000000" w:usb3="00000000" w:csb0="0000019F" w:csb1="00000000"/>
  </w:font>
  <w:font w:name="Calibri">
    <w:altName w:val="Lucida Sans"/>
    <w:panose1 w:val="020F0502020204030204"/>
    <w:charset w:val="00"/>
    <w:family w:val="modern"/>
    <w:pitch w:val="default"/>
    <w:sig w:usb0="00000000" w:usb1="00000000" w:usb2="00000001" w:usb3="00000000" w:csb0="0000019F" w:csb1="00000000"/>
  </w:font>
  <w:font w:name="Palatino Linotype">
    <w:panose1 w:val="02040502050505030304"/>
    <w:charset w:val="00"/>
    <w:family w:val="auto"/>
    <w:pitch w:val="default"/>
    <w:sig w:usb0="E0000387" w:usb1="40000013" w:usb2="00000000" w:usb3="00000000" w:csb0="2000019F" w:csb1="00000000"/>
  </w:font>
  <w:font w:name="Lucida Sans">
    <w:panose1 w:val="020B0602030504020204"/>
    <w:charset w:val="00"/>
    <w:family w:val="auto"/>
    <w:pitch w:val="default"/>
    <w:sig w:usb0="00000000" w:usb1="00000000" w:usb2="00000000" w:usb3="00000000" w:csb0="00000000" w:csb1="00000000"/>
  </w:font>
  <w:font w:name="Lucida Sans">
    <w:panose1 w:val="020B0602030504020204"/>
    <w:charset w:val="00"/>
    <w:family w:val="modern"/>
    <w:pitch w:val="default"/>
    <w:sig w:usb0="00000000" w:usb1="00000000" w:usb2="00000000" w:usb3="00000000" w:csb0="00000000" w:csb1="00000000"/>
  </w:font>
  <w:font w:name="方正小标宋简体">
    <w:altName w:val="黑体"/>
    <w:panose1 w:val="00000000000000000000"/>
    <w:charset w:val="00"/>
    <w:family w:val="auto"/>
    <w:pitch w:val="default"/>
    <w:sig w:usb0="00000000" w:usb1="00000000" w:usb2="00000000" w:usb3="00000000" w:csb0="00000000" w:csb1="00000000"/>
  </w:font>
  <w:font w:name="Arial">
    <w:panose1 w:val="020B0604020202020204"/>
    <w:charset w:val="01"/>
    <w:family w:val="modern"/>
    <w:pitch w:val="default"/>
    <w:sig w:usb0="00007A87" w:usb1="80000000" w:usb2="00000008" w:usb3="00000000" w:csb0="400001FF" w:csb1="FFFF0000"/>
  </w:font>
  <w:font w:name="Courier New">
    <w:panose1 w:val="02070309020205020404"/>
    <w:charset w:val="01"/>
    <w:family w:val="roman"/>
    <w:pitch w:val="default"/>
    <w:sig w:usb0="00007A87" w:usb1="80000000" w:usb2="00000008" w:usb3="00000000" w:csb0="400001FF" w:csb1="FFFF0000"/>
  </w:font>
  <w:font w:name="Symbol">
    <w:panose1 w:val="05050102010706020507"/>
    <w:charset w:val="02"/>
    <w:family w:val="decorative"/>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Lucida Sans"/>
    <w:panose1 w:val="020F0502020204030204"/>
    <w:charset w:val="00"/>
    <w:family w:val="swiss"/>
    <w:pitch w:val="default"/>
    <w:sig w:usb0="00000000" w:usb1="00000000" w:usb2="00000001" w:usb3="00000000" w:csb0="0000019F" w:csb1="00000000"/>
  </w:font>
  <w:font w:name="Lucida Sans">
    <w:panose1 w:val="020B0602030504020204"/>
    <w:charset w:val="00"/>
    <w:family w:val="swiss"/>
    <w:pitch w:val="default"/>
    <w:sig w:usb0="00000000" w:usb1="00000000" w:usb2="00000000" w:usb3="00000000" w:csb0="00000000" w:csb1="00000000"/>
  </w:font>
  <w:font w:name="Lucida Sans">
    <w:panose1 w:val="020B0602030504020204"/>
    <w:charset w:val="00"/>
    <w:family w:val="roman"/>
    <w:pitch w:val="default"/>
    <w:sig w:usb0="00000000" w:usb1="00000000" w:usb2="00000000" w:usb3="00000000" w:csb0="00000000" w:csb1="00000000"/>
  </w:font>
  <w:font w:name="Lucida Sans">
    <w:panose1 w:val="020B0602030504020204"/>
    <w:charset w:val="00"/>
    <w:family w:val="decorative"/>
    <w:pitch w:val="default"/>
    <w:sig w:usb0="00000000" w:usb1="00000000" w:usb2="00000000" w:usb3="00000000" w:csb0="00000000" w:csb1="00000000"/>
  </w:font>
  <w:font w:name="黑体">
    <w:panose1 w:val="02010600030101010101"/>
    <w:charset w:val="86"/>
    <w:family w:val="auto"/>
    <w:pitch w:val="default"/>
    <w:sig w:usb0="00000001" w:usb1="080E0000" w:usb2="00000000" w:usb3="00000000" w:csb0="00040000" w:csb1="00000000"/>
  </w:font>
  <w:font w:name="Lucida Sans">
    <w:panose1 w:val="020B0602030504020204"/>
    <w:charset w:val="00"/>
    <w:family w:val="decorative"/>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2C4DBC"/>
    <w:rsid w:val="0F280A6E"/>
    <w:rsid w:val="422C4DBC"/>
    <w:rsid w:val="527F6EE9"/>
    <w:rsid w:val="73C64D7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2016-10-28T00:51:00Z</dcterms:created>
  <dc:creator>Administrator</dc:creator>
  <cp:lastModifiedBy>Administrator</cp:lastModifiedBy>
  <cp:lastPrinted>2016-10-28T08:32:00Z</cp:lastPrinted>
  <dcterms:modified xsi:type="dcterms:W3CDTF">2016-10-28T08:51:27Z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ies>
</file>