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tbl>
      <w:tblPr>
        <w:tblStyle w:val="8"/>
        <w:tblW w:w="151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127"/>
        <w:gridCol w:w="556"/>
        <w:gridCol w:w="2179"/>
        <w:gridCol w:w="2900"/>
        <w:gridCol w:w="6320"/>
        <w:gridCol w:w="1200"/>
        <w:gridCol w:w="8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30" w:hRule="atLeast"/>
        </w:trPr>
        <w:tc>
          <w:tcPr>
            <w:tcW w:w="1127" w:type="dxa"/>
            <w:tcBorders>
              <w:top w:val="nil"/>
              <w:left w:val="nil"/>
              <w:bottom w:val="single" w:color="000000" w:sz="4" w:space="0"/>
              <w:right w:val="nil"/>
            </w:tcBorders>
            <w:shd w:val="clear" w:color="auto" w:fill="auto"/>
            <w:vAlign w:val="center"/>
          </w:tcPr>
          <w:p>
            <w:pPr>
              <w:jc w:val="center"/>
              <w:rPr>
                <w:rFonts w:hint="eastAsia" w:ascii="宋体" w:hAnsi="宋体" w:eastAsia="宋体" w:cs="宋体"/>
                <w:i w:val="0"/>
                <w:color w:val="000000"/>
                <w:sz w:val="24"/>
                <w:szCs w:val="24"/>
                <w:u w:val="none"/>
              </w:rPr>
            </w:pPr>
          </w:p>
        </w:tc>
        <w:tc>
          <w:tcPr>
            <w:tcW w:w="13155" w:type="dxa"/>
            <w:gridSpan w:val="5"/>
            <w:tcBorders>
              <w:top w:val="nil"/>
              <w:left w:val="nil"/>
              <w:bottom w:val="single" w:color="000000" w:sz="4" w:space="0"/>
              <w:right w:val="nil"/>
            </w:tcBorders>
            <w:shd w:val="clear" w:color="auto" w:fill="auto"/>
            <w:vAlign w:val="center"/>
          </w:tcPr>
          <w:p>
            <w:pPr>
              <w:keepNext w:val="0"/>
              <w:keepLines w:val="0"/>
              <w:widowControl/>
              <w:suppressLineNumbers w:val="0"/>
              <w:jc w:val="center"/>
              <w:textAlignment w:val="center"/>
              <w:rPr>
                <w:rFonts w:ascii="文星标宋" w:hAnsi="文星标宋" w:eastAsia="文星标宋" w:cs="文星标宋"/>
                <w:i w:val="0"/>
                <w:color w:val="000000"/>
                <w:sz w:val="40"/>
                <w:szCs w:val="40"/>
                <w:u w:val="none"/>
              </w:rPr>
            </w:pPr>
            <w:r>
              <w:rPr>
                <w:rFonts w:hint="eastAsia" w:ascii="文星标宋" w:hAnsi="文星标宋" w:eastAsia="文星标宋" w:cs="文星标宋"/>
                <w:i w:val="0"/>
                <w:color w:val="000000"/>
                <w:kern w:val="0"/>
                <w:sz w:val="40"/>
                <w:szCs w:val="40"/>
                <w:u w:val="none"/>
                <w:lang w:val="en-US" w:eastAsia="zh-CN" w:bidi="ar"/>
              </w:rPr>
              <w:t>大安市随机抽查事项清单</w:t>
            </w:r>
          </w:p>
        </w:tc>
        <w:tc>
          <w:tcPr>
            <w:tcW w:w="820" w:type="dxa"/>
            <w:tcBorders>
              <w:top w:val="nil"/>
              <w:left w:val="nil"/>
              <w:bottom w:val="single" w:color="000000" w:sz="4" w:space="0"/>
              <w:right w:val="nil"/>
            </w:tcBorders>
            <w:shd w:val="clear" w:color="auto" w:fill="auto"/>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抽查主体</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序号</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事项名称</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抽查依据</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抽查内容</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抽查方式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eastAsia="zh-CN"/>
              </w:rPr>
            </w:pPr>
            <w:r>
              <w:rPr>
                <w:rFonts w:hint="default" w:ascii="Times New Roman" w:hAnsi="Times New Roman" w:eastAsia="仿宋_GB2312" w:cs="Times New Roman"/>
                <w:i w:val="0"/>
                <w:color w:val="000000"/>
                <w:sz w:val="21"/>
                <w:szCs w:val="21"/>
                <w:u w:val="none"/>
                <w:lang w:eastAsia="zh-CN"/>
              </w:rPr>
              <w:t>安监局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eastAsia="zh-CN"/>
              </w:rPr>
            </w:pPr>
            <w:r>
              <w:rPr>
                <w:rFonts w:hint="default" w:ascii="Times New Roman" w:hAnsi="Times New Roman" w:eastAsia="仿宋_GB2312" w:cs="Times New Roman"/>
                <w:i w:val="0"/>
                <w:color w:val="000000"/>
                <w:sz w:val="21"/>
                <w:szCs w:val="21"/>
                <w:u w:val="none"/>
                <w:lang w:val="en-US" w:eastAsia="zh-CN"/>
              </w:rPr>
              <w:t>对生产经营单位督查检查</w:t>
            </w:r>
          </w:p>
        </w:tc>
        <w:tc>
          <w:tcPr>
            <w:tcW w:w="2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eastAsia="zh-CN"/>
              </w:rPr>
            </w:pPr>
            <w:r>
              <w:rPr>
                <w:rFonts w:hint="default" w:ascii="Times New Roman" w:hAnsi="Times New Roman" w:eastAsia="仿宋_GB2312" w:cs="Times New Roman"/>
                <w:i w:val="0"/>
                <w:color w:val="000000"/>
                <w:sz w:val="21"/>
                <w:szCs w:val="21"/>
                <w:u w:val="none"/>
                <w:lang w:val="en-US" w:eastAsia="zh-CN"/>
              </w:rPr>
              <w:t xml:space="preserve"> 《安全生产法》第五十九条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eastAsia="zh-CN"/>
              </w:rPr>
            </w:pPr>
            <w:r>
              <w:rPr>
                <w:rFonts w:hint="default" w:ascii="Times New Roman" w:hAnsi="Times New Roman" w:eastAsia="仿宋_GB2312" w:cs="Times New Roman"/>
                <w:i w:val="0"/>
                <w:color w:val="000000"/>
                <w:sz w:val="21"/>
                <w:szCs w:val="21"/>
                <w:u w:val="none"/>
                <w:lang w:val="en-US" w:eastAsia="zh-CN"/>
              </w:rPr>
              <w:t>生产经营单位对生产安全事故隐患排查治理情况。</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定期抽查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72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sz w:val="21"/>
                <w:szCs w:val="21"/>
                <w:u w:val="none"/>
                <w:lang w:eastAsia="zh-CN"/>
              </w:rPr>
              <w:t>安监局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eastAsia" w:ascii="Times New Roman" w:hAnsi="Times New Roman" w:eastAsia="仿宋_GB2312" w:cs="Times New Roman"/>
                <w:i w:val="0"/>
                <w:color w:val="000000"/>
                <w:sz w:val="21"/>
                <w:szCs w:val="21"/>
                <w:u w:val="none"/>
                <w:lang w:val="en-US" w:eastAsia="zh-CN"/>
              </w:rPr>
              <w:t>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eastAsia="zh-CN"/>
              </w:rPr>
            </w:pPr>
            <w:r>
              <w:rPr>
                <w:rFonts w:hint="default" w:ascii="Times New Roman" w:hAnsi="Times New Roman" w:eastAsia="仿宋_GB2312" w:cs="Times New Roman"/>
                <w:i w:val="0"/>
                <w:color w:val="000000"/>
                <w:sz w:val="21"/>
                <w:szCs w:val="21"/>
                <w:u w:val="none"/>
                <w:lang w:val="en-US" w:eastAsia="zh-CN"/>
              </w:rPr>
              <w:t>事故发生单位及时全面落实整改措施情况</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eastAsia="zh-CN"/>
              </w:rPr>
            </w:pPr>
            <w:r>
              <w:rPr>
                <w:rFonts w:hint="default" w:ascii="Times New Roman" w:hAnsi="Times New Roman" w:eastAsia="仿宋_GB2312" w:cs="Times New Roman"/>
                <w:i w:val="0"/>
                <w:color w:val="000000"/>
                <w:sz w:val="21"/>
                <w:szCs w:val="21"/>
                <w:u w:val="none"/>
                <w:lang w:val="en-US" w:eastAsia="zh-CN"/>
              </w:rPr>
              <w:t>《安全生产法》第八十三条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eastAsia="zh-CN"/>
              </w:rPr>
            </w:pPr>
            <w:r>
              <w:rPr>
                <w:rFonts w:hint="default" w:ascii="Times New Roman" w:hAnsi="Times New Roman" w:eastAsia="仿宋_GB2312" w:cs="Times New Roman"/>
                <w:i w:val="0"/>
                <w:color w:val="000000"/>
                <w:sz w:val="21"/>
                <w:szCs w:val="21"/>
                <w:u w:val="none"/>
                <w:lang w:val="en-US" w:eastAsia="zh-CN"/>
              </w:rPr>
              <w:t>事故发生单位是否及时全面落实整改措施</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随机抽查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b/>
                <w:bCs/>
                <w:i w:val="0"/>
                <w:color w:val="000000"/>
                <w:sz w:val="21"/>
                <w:szCs w:val="21"/>
                <w:u w:val="none"/>
              </w:rPr>
            </w:pPr>
            <w:r>
              <w:rPr>
                <w:rFonts w:hint="default" w:ascii="Times New Roman" w:hAnsi="Times New Roman" w:eastAsia="仿宋_GB2312" w:cs="Times New Roman"/>
                <w:i w:val="0"/>
                <w:color w:val="000000"/>
                <w:sz w:val="21"/>
                <w:szCs w:val="21"/>
                <w:u w:val="none"/>
                <w:lang w:eastAsia="zh-CN"/>
              </w:rPr>
              <w:t>安监局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eastAsia" w:ascii="Times New Roman" w:hAnsi="Times New Roman" w:eastAsia="仿宋_GB2312" w:cs="Times New Roman"/>
                <w:i w:val="0"/>
                <w:color w:val="000000"/>
                <w:sz w:val="21"/>
                <w:szCs w:val="21"/>
                <w:u w:val="none"/>
                <w:lang w:val="en-US" w:eastAsia="zh-CN"/>
              </w:rPr>
              <w:t>3</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eastAsia="zh-CN"/>
              </w:rPr>
            </w:pPr>
            <w:r>
              <w:rPr>
                <w:rFonts w:hint="default" w:ascii="Times New Roman" w:hAnsi="Times New Roman" w:eastAsia="仿宋_GB2312" w:cs="Times New Roman"/>
                <w:i w:val="0"/>
                <w:color w:val="000000"/>
                <w:sz w:val="21"/>
                <w:szCs w:val="21"/>
                <w:u w:val="none"/>
                <w:lang w:val="en-US" w:eastAsia="zh-CN"/>
              </w:rPr>
              <w:t>对生产经营单位安全生产所必需的资金投入监督检查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eastAsia="zh-CN"/>
              </w:rPr>
            </w:pPr>
            <w:r>
              <w:rPr>
                <w:rFonts w:hint="default" w:ascii="Times New Roman" w:hAnsi="Times New Roman" w:eastAsia="仿宋_GB2312" w:cs="Times New Roman"/>
                <w:i w:val="0"/>
                <w:color w:val="000000"/>
                <w:sz w:val="21"/>
                <w:szCs w:val="21"/>
                <w:u w:val="none"/>
                <w:lang w:val="en-US" w:eastAsia="zh-CN"/>
              </w:rPr>
              <w:t>《安全生产法》第九十条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eastAsia="zh-CN"/>
              </w:rPr>
            </w:pPr>
            <w:r>
              <w:rPr>
                <w:rFonts w:hint="default" w:ascii="Times New Roman" w:hAnsi="Times New Roman" w:eastAsia="仿宋_GB2312" w:cs="Times New Roman"/>
                <w:i w:val="0"/>
                <w:color w:val="000000"/>
                <w:sz w:val="21"/>
                <w:szCs w:val="21"/>
                <w:u w:val="none"/>
                <w:lang w:val="en-US" w:eastAsia="zh-CN"/>
              </w:rPr>
              <w:t>是否按照财政部和安全监管总局印发的《企业安全生产费用提取和使用管理办法》的通知（财企〔2012〕16号）提取和使用安全生产费用。</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定期抽查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12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sz w:val="21"/>
                <w:szCs w:val="21"/>
                <w:u w:val="none"/>
                <w:lang w:eastAsia="zh-CN"/>
              </w:rPr>
              <w:t>安监局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eastAsia" w:ascii="Times New Roman" w:hAnsi="Times New Roman" w:eastAsia="仿宋_GB2312" w:cs="Times New Roman"/>
                <w:i w:val="0"/>
                <w:color w:val="000000"/>
                <w:sz w:val="21"/>
                <w:szCs w:val="21"/>
                <w:u w:val="none"/>
                <w:lang w:val="en-US" w:eastAsia="zh-CN"/>
              </w:rPr>
              <w:t>4</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eastAsia="zh-CN"/>
              </w:rPr>
            </w:pPr>
            <w:r>
              <w:rPr>
                <w:rFonts w:hint="default" w:ascii="Times New Roman" w:hAnsi="Times New Roman" w:eastAsia="仿宋_GB2312" w:cs="Times New Roman"/>
                <w:i w:val="0"/>
                <w:color w:val="000000"/>
                <w:sz w:val="21"/>
                <w:szCs w:val="21"/>
                <w:u w:val="none"/>
                <w:lang w:val="en-US" w:eastAsia="zh-CN"/>
              </w:rPr>
              <w:t>生产经营单位的从业人员不服从管理，违反安全生产规章制度或者操作规程的</w:t>
            </w:r>
            <w:r>
              <w:rPr>
                <w:rFonts w:hint="eastAsia" w:ascii="Times New Roman" w:hAnsi="Times New Roman" w:eastAsia="仿宋_GB2312" w:cs="Times New Roman"/>
                <w:i w:val="0"/>
                <w:color w:val="000000"/>
                <w:sz w:val="21"/>
                <w:szCs w:val="21"/>
                <w:u w:val="none"/>
                <w:lang w:val="en-US" w:eastAsia="zh-CN"/>
              </w:rPr>
              <w:t>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eastAsia="zh-CN"/>
              </w:rPr>
            </w:pPr>
            <w:r>
              <w:rPr>
                <w:rFonts w:hint="default" w:ascii="Times New Roman" w:hAnsi="Times New Roman" w:eastAsia="仿宋_GB2312" w:cs="Times New Roman"/>
                <w:i w:val="0"/>
                <w:color w:val="000000"/>
                <w:sz w:val="21"/>
                <w:szCs w:val="21"/>
                <w:u w:val="none"/>
                <w:lang w:val="en-US" w:eastAsia="zh-CN"/>
              </w:rPr>
              <w:t>《安全生产法》第一百零四条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eastAsia="zh-CN"/>
              </w:rPr>
            </w:pPr>
            <w:r>
              <w:rPr>
                <w:rFonts w:hint="default" w:ascii="Times New Roman" w:hAnsi="Times New Roman" w:eastAsia="仿宋_GB2312" w:cs="Times New Roman"/>
                <w:i w:val="0"/>
                <w:color w:val="000000"/>
                <w:sz w:val="21"/>
                <w:szCs w:val="21"/>
                <w:u w:val="none"/>
                <w:lang w:val="en-US" w:eastAsia="zh-CN"/>
              </w:rPr>
              <w:t>生产经营单位的从业人员是否服从管理，是否有违反安全生产规章制度或者操作规程的，生产经营单位是否给予不服从管理、违反安全生产规章制度或者操作规程的从业人员批评教育及处分。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不定期抽查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02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环境保护局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环境保护监督管理</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eastAsia" w:ascii="Times New Roman" w:hAnsi="Times New Roman" w:eastAsia="仿宋_GB2312" w:cs="Times New Roman"/>
                <w:i w:val="0"/>
                <w:color w:val="000000"/>
                <w:sz w:val="21"/>
                <w:szCs w:val="21"/>
                <w:u w:val="none"/>
                <w:lang w:val="en-US" w:eastAsia="zh-CN"/>
              </w:rPr>
              <w:t>《中华人民共和国环境保护法》第十条、第二十四条；《建设项目环境保护管理条例》第二十条、第二十三条；《中华人民共和国固体废物污染环境防治法》第十条、《中华人民共和国水污染防治法》第二十七条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重点对环境污染防治设施的设计、施工、运行情况抽查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按照抽查比例采用“双随机”方式确定抽查人员及被抽查相关单位名单</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食品生产监督检查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eastAsia" w:ascii="Times New Roman" w:hAnsi="Times New Roman" w:eastAsia="仿宋_GB2312" w:cs="Times New Roman"/>
                <w:i w:val="0"/>
                <w:color w:val="000000"/>
                <w:sz w:val="21"/>
                <w:szCs w:val="21"/>
                <w:u w:val="none"/>
                <w:lang w:val="en-US" w:eastAsia="zh-CN"/>
              </w:rPr>
              <w:t>《食品安全法》第一百零九条</w:t>
            </w:r>
            <w:r>
              <w:rPr>
                <w:rFonts w:hint="default" w:ascii="Times New Roman" w:hAnsi="Times New Roman" w:eastAsia="仿宋_GB2312" w:cs="Times New Roman"/>
                <w:i w:val="0"/>
                <w:color w:val="000000"/>
                <w:sz w:val="21"/>
                <w:szCs w:val="21"/>
                <w:u w:val="none"/>
                <w:lang w:val="en-US" w:eastAsia="zh-CN"/>
              </w:rPr>
              <w:t>、《食品安全法》第一百一十条、《食品安全法》第一百一十三条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企业资质、落实进货查验、从业人员健康和培训、生产过程控制、落实食品出厂检验、不合格品管理、食品标识标注、食品销售台账记录、执行标准等情况</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食品销售监督检查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《食品安全法》第一百零九条、《食品安全法》第一百一十条、《食品安全法》第一百一十三条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食品经营持证情况，管理制度落实情况，食品标签标识，食品质量，供货单位及食品合格检验报告，进货查验记录或票据，食品批发购销台账，从业人员健康证明，进口酒类相关凭证等。</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餐饮服务监督检查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《食品安全法》第一百零九条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食品经营持证情况、食品安全管理员及人员健康管理、环境管理、餐具消毒管理、索证索票及台账、专间管理、食品储存管理、食品留样管理、食品添加剂管理、餐厨废弃物管理、场所设施设备管理等情况。</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食品生产加工作小作坊监督检查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《食品安全法》第三十六条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实际生产方式和范围；采购进货查验落实情况；从业人员持健康证、健康档案情况；生产过程控制情况；食品出厂检验落实情况；不合格品管理情况；食品销售台账记录情况；</w:t>
            </w:r>
            <w:r>
              <w:rPr>
                <w:rStyle w:val="11"/>
                <w:rFonts w:hint="default" w:ascii="Times New Roman" w:hAnsi="Times New Roman" w:eastAsia="仿宋_GB2312" w:cs="Times New Roman"/>
                <w:sz w:val="21"/>
                <w:szCs w:val="21"/>
                <w:lang w:val="en-US" w:eastAsia="zh-CN" w:bidi="ar"/>
              </w:rPr>
              <w:t xml:space="preserve"> </w:t>
            </w:r>
            <w:r>
              <w:rPr>
                <w:rStyle w:val="12"/>
                <w:rFonts w:hint="default" w:ascii="Times New Roman" w:hAnsi="Times New Roman" w:eastAsia="仿宋_GB2312" w:cs="Times New Roman"/>
                <w:sz w:val="21"/>
                <w:szCs w:val="21"/>
                <w:lang w:val="en-US" w:eastAsia="zh-CN" w:bidi="ar"/>
              </w:rPr>
              <w:t>不安全食品召回记录情况；</w:t>
            </w:r>
            <w:r>
              <w:rPr>
                <w:rStyle w:val="10"/>
                <w:rFonts w:hint="default" w:ascii="Times New Roman" w:hAnsi="Times New Roman" w:eastAsia="仿宋_GB2312" w:cs="Times New Roman"/>
                <w:sz w:val="21"/>
                <w:szCs w:val="21"/>
                <w:lang w:val="en-US" w:eastAsia="zh-CN" w:bidi="ar"/>
              </w:rPr>
              <w:t xml:space="preserve">   </w:t>
            </w:r>
            <w:r>
              <w:rPr>
                <w:rStyle w:val="12"/>
                <w:rFonts w:hint="default" w:ascii="Times New Roman" w:hAnsi="Times New Roman" w:eastAsia="仿宋_GB2312" w:cs="Times New Roman"/>
                <w:sz w:val="21"/>
                <w:szCs w:val="21"/>
                <w:lang w:val="en-US" w:eastAsia="zh-CN" w:bidi="ar"/>
              </w:rPr>
              <w:t>对消费者投诉登记及处理记录；</w:t>
            </w:r>
            <w:r>
              <w:rPr>
                <w:rStyle w:val="11"/>
                <w:rFonts w:hint="default" w:ascii="Times New Roman" w:hAnsi="Times New Roman" w:eastAsia="仿宋_GB2312" w:cs="Times New Roman"/>
                <w:sz w:val="21"/>
                <w:szCs w:val="21"/>
                <w:lang w:val="en-US" w:eastAsia="zh-CN" w:bidi="ar"/>
              </w:rPr>
              <w:t xml:space="preserve"> </w:t>
            </w:r>
            <w:r>
              <w:rPr>
                <w:rStyle w:val="12"/>
                <w:rFonts w:hint="default" w:ascii="Times New Roman" w:hAnsi="Times New Roman" w:eastAsia="仿宋_GB2312" w:cs="Times New Roman"/>
                <w:sz w:val="21"/>
                <w:szCs w:val="21"/>
                <w:lang w:val="en-US" w:eastAsia="zh-CN" w:bidi="ar"/>
              </w:rPr>
              <w:t>企业处置食品安全事故情况</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食品摊贩监督检查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《食品安全法》第三十六条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索证索票；食品产地产名；食品是否合格；营业人员健康证；三防措施</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保健食品经营监督检查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《食品安全法》第一百零九条、《食品安全法》第一百一十条、第一百一十三条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经营产品的合法性情况；经营产品的标签标识、说明书合法合规情况；各项质量管理制度的制定和落实情况；供货商审查情况；人员健康、培训情况；货、票、帐相符情况；经营、储存场所情况；宣传情况等。</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药品经营监督检查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《药品管理法》第六十三条、《药品管理法实施条例》第五十六条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药品经营企业执行药品管理法律、法规及实施《药品经营质量管理规范》的情况</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8</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医疗机构药品使用监督检查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《药品管理法》第六十三条、《药品管理法实施条例》第五十六条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环境卫生；温湿度调控设施；组织机构与人员管理情况；药品购进管理；拆零药品管理；中药材；中药饮片管理；特殊药品管理；终止妊娠药品管理；药品储存与养护情况；不得有违法配置；购进药品的行为。</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9</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医疗器械经营监督检查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《医疗器械监督管理条例》（国务院令第</w:t>
            </w:r>
            <w:r>
              <w:rPr>
                <w:rStyle w:val="20"/>
                <w:lang w:val="en-US" w:eastAsia="zh-CN" w:bidi="ar"/>
              </w:rPr>
              <w:t>650</w:t>
            </w:r>
            <w:r>
              <w:rPr>
                <w:rStyle w:val="21"/>
                <w:lang w:val="en-US" w:eastAsia="zh-CN" w:bidi="ar"/>
              </w:rPr>
              <w:t>号）第五十三条、《医疗器械经营监督管理办法》（总局令第8号）第四十四条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企业资质、产品资质、是否符合经营质量管理规范要求、经营条件是否持续符合法定要求等。</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医疗器械使用</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《医疗器械监督管理条例》（国务院令第</w:t>
            </w:r>
            <w:r>
              <w:rPr>
                <w:rStyle w:val="20"/>
                <w:lang w:val="en-US" w:eastAsia="zh-CN" w:bidi="ar"/>
              </w:rPr>
              <w:t>650</w:t>
            </w:r>
            <w:r>
              <w:rPr>
                <w:rStyle w:val="21"/>
                <w:lang w:val="en-US" w:eastAsia="zh-CN" w:bidi="ar"/>
              </w:rPr>
              <w:t>号）第五十三条、《医疗器械使用质量监督管理办法》（总局令第18号）“第二十三条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对医疗器械使用单位建立、执行医疗器械使用质量管理制度的情况进行监督检查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广告监测</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《广告法》（主席令第</w:t>
            </w:r>
            <w:r>
              <w:rPr>
                <w:rFonts w:hint="default" w:ascii="楷体" w:hAnsi="楷体" w:eastAsia="楷体" w:cs="楷体"/>
                <w:i w:val="0"/>
                <w:color w:val="000000"/>
                <w:kern w:val="0"/>
                <w:sz w:val="18"/>
                <w:szCs w:val="18"/>
                <w:u w:val="none"/>
                <w:lang w:val="en-US" w:eastAsia="zh-CN" w:bidi="ar"/>
              </w:rPr>
              <w:t>34</w:t>
            </w:r>
            <w:r>
              <w:rPr>
                <w:rFonts w:hint="eastAsia" w:ascii="宋体" w:hAnsi="宋体" w:eastAsia="宋体" w:cs="宋体"/>
                <w:i w:val="0"/>
                <w:color w:val="000000"/>
                <w:kern w:val="0"/>
                <w:sz w:val="18"/>
                <w:szCs w:val="18"/>
                <w:u w:val="none"/>
                <w:lang w:val="en-US" w:eastAsia="zh-CN" w:bidi="ar"/>
              </w:rPr>
              <w:t>号，</w:t>
            </w:r>
            <w:r>
              <w:rPr>
                <w:rFonts w:hint="default" w:ascii="楷体" w:hAnsi="楷体" w:eastAsia="楷体" w:cs="楷体"/>
                <w:i w:val="0"/>
                <w:color w:val="000000"/>
                <w:kern w:val="0"/>
                <w:sz w:val="18"/>
                <w:szCs w:val="18"/>
                <w:u w:val="none"/>
                <w:lang w:val="en-US" w:eastAsia="zh-CN" w:bidi="ar"/>
              </w:rPr>
              <w:t>2015</w:t>
            </w:r>
            <w:r>
              <w:rPr>
                <w:rFonts w:hint="eastAsia" w:ascii="宋体" w:hAnsi="宋体" w:eastAsia="宋体" w:cs="宋体"/>
                <w:i w:val="0"/>
                <w:color w:val="000000"/>
                <w:kern w:val="0"/>
                <w:sz w:val="18"/>
                <w:szCs w:val="18"/>
                <w:u w:val="none"/>
                <w:lang w:val="en-US" w:eastAsia="zh-CN" w:bidi="ar"/>
              </w:rPr>
              <w:t>年</w:t>
            </w:r>
            <w:r>
              <w:rPr>
                <w:rFonts w:hint="default" w:ascii="楷体" w:hAnsi="楷体" w:eastAsia="楷体" w:cs="楷体"/>
                <w:i w:val="0"/>
                <w:color w:val="000000"/>
                <w:kern w:val="0"/>
                <w:sz w:val="18"/>
                <w:szCs w:val="18"/>
                <w:u w:val="none"/>
                <w:lang w:val="en-US" w:eastAsia="zh-CN" w:bidi="ar"/>
              </w:rPr>
              <w:t>4</w:t>
            </w:r>
            <w:r>
              <w:rPr>
                <w:rFonts w:hint="eastAsia" w:ascii="宋体" w:hAnsi="宋体" w:eastAsia="宋体" w:cs="宋体"/>
                <w:i w:val="0"/>
                <w:color w:val="000000"/>
                <w:kern w:val="0"/>
                <w:sz w:val="18"/>
                <w:szCs w:val="18"/>
                <w:u w:val="none"/>
                <w:lang w:val="en-US" w:eastAsia="zh-CN" w:bidi="ar"/>
              </w:rPr>
              <w:t>月</w:t>
            </w:r>
            <w:r>
              <w:rPr>
                <w:rFonts w:hint="default" w:ascii="楷体" w:hAnsi="楷体" w:eastAsia="楷体" w:cs="楷体"/>
                <w:i w:val="0"/>
                <w:color w:val="000000"/>
                <w:kern w:val="0"/>
                <w:sz w:val="18"/>
                <w:szCs w:val="18"/>
                <w:u w:val="none"/>
                <w:lang w:val="en-US" w:eastAsia="zh-CN" w:bidi="ar"/>
              </w:rPr>
              <w:t>24</w:t>
            </w:r>
            <w:r>
              <w:rPr>
                <w:rFonts w:hint="eastAsia" w:ascii="宋体" w:hAnsi="宋体" w:eastAsia="宋体" w:cs="宋体"/>
                <w:i w:val="0"/>
                <w:color w:val="000000"/>
                <w:kern w:val="0"/>
                <w:sz w:val="18"/>
                <w:szCs w:val="18"/>
                <w:u w:val="none"/>
                <w:lang w:val="en-US" w:eastAsia="zh-CN" w:bidi="ar"/>
              </w:rPr>
              <w:t>日修订）第六条第二款、第四十九条第二款</w:t>
            </w:r>
            <w:r>
              <w:rPr>
                <w:rFonts w:hint="default" w:ascii="楷体" w:hAnsi="楷体" w:eastAsia="楷体" w:cs="楷体"/>
                <w:i w:val="0"/>
                <w:color w:val="000000"/>
                <w:kern w:val="0"/>
                <w:sz w:val="18"/>
                <w:szCs w:val="18"/>
                <w:u w:val="none"/>
                <w:lang w:val="en-US" w:eastAsia="zh-CN" w:bidi="ar"/>
              </w:rPr>
              <w:t xml:space="preserve"> </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对本辖区内的广告发布活动进行监测。</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广告经营资格检查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《广告经营资格检查办法》（国家工商总局令第</w:t>
            </w:r>
            <w:r>
              <w:rPr>
                <w:rFonts w:hint="default" w:ascii="楷体" w:hAnsi="楷体" w:eastAsia="楷体" w:cs="楷体"/>
                <w:i w:val="0"/>
                <w:color w:val="000000"/>
                <w:kern w:val="0"/>
                <w:sz w:val="18"/>
                <w:szCs w:val="18"/>
                <w:u w:val="none"/>
                <w:lang w:val="en-US" w:eastAsia="zh-CN" w:bidi="ar"/>
              </w:rPr>
              <w:t>86</w:t>
            </w:r>
            <w:r>
              <w:rPr>
                <w:rFonts w:hint="eastAsia" w:ascii="宋体" w:hAnsi="宋体" w:eastAsia="宋体" w:cs="宋体"/>
                <w:i w:val="0"/>
                <w:color w:val="000000"/>
                <w:kern w:val="0"/>
                <w:sz w:val="18"/>
                <w:szCs w:val="18"/>
                <w:u w:val="none"/>
                <w:lang w:val="en-US" w:eastAsia="zh-CN" w:bidi="ar"/>
              </w:rPr>
              <w:t>号，</w:t>
            </w:r>
            <w:r>
              <w:rPr>
                <w:rFonts w:hint="default" w:ascii="楷体" w:hAnsi="楷体" w:eastAsia="楷体" w:cs="楷体"/>
                <w:i w:val="0"/>
                <w:color w:val="000000"/>
                <w:kern w:val="0"/>
                <w:sz w:val="18"/>
                <w:szCs w:val="18"/>
                <w:u w:val="none"/>
                <w:lang w:val="en-US" w:eastAsia="zh-CN" w:bidi="ar"/>
              </w:rPr>
              <w:t>1998</w:t>
            </w:r>
            <w:r>
              <w:rPr>
                <w:rFonts w:hint="eastAsia" w:ascii="宋体" w:hAnsi="宋体" w:eastAsia="宋体" w:cs="宋体"/>
                <w:i w:val="0"/>
                <w:color w:val="000000"/>
                <w:kern w:val="0"/>
                <w:sz w:val="18"/>
                <w:szCs w:val="18"/>
                <w:u w:val="none"/>
                <w:lang w:val="en-US" w:eastAsia="zh-CN" w:bidi="ar"/>
              </w:rPr>
              <w:t>年</w:t>
            </w:r>
            <w:r>
              <w:rPr>
                <w:rFonts w:hint="default" w:ascii="楷体" w:hAnsi="楷体" w:eastAsia="楷体" w:cs="楷体"/>
                <w:i w:val="0"/>
                <w:color w:val="000000"/>
                <w:kern w:val="0"/>
                <w:sz w:val="18"/>
                <w:szCs w:val="18"/>
                <w:u w:val="none"/>
                <w:lang w:val="en-US" w:eastAsia="zh-CN" w:bidi="ar"/>
              </w:rPr>
              <w:t>12</w:t>
            </w:r>
            <w:r>
              <w:rPr>
                <w:rFonts w:hint="eastAsia" w:ascii="宋体" w:hAnsi="宋体" w:eastAsia="宋体" w:cs="宋体"/>
                <w:i w:val="0"/>
                <w:color w:val="000000"/>
                <w:kern w:val="0"/>
                <w:sz w:val="18"/>
                <w:szCs w:val="18"/>
                <w:u w:val="none"/>
                <w:lang w:val="en-US" w:eastAsia="zh-CN" w:bidi="ar"/>
              </w:rPr>
              <w:t>月</w:t>
            </w:r>
            <w:r>
              <w:rPr>
                <w:rFonts w:hint="default" w:ascii="楷体" w:hAnsi="楷体" w:eastAsia="楷体" w:cs="楷体"/>
                <w:i w:val="0"/>
                <w:color w:val="000000"/>
                <w:kern w:val="0"/>
                <w:sz w:val="18"/>
                <w:szCs w:val="18"/>
                <w:u w:val="none"/>
                <w:lang w:val="en-US" w:eastAsia="zh-CN" w:bidi="ar"/>
              </w:rPr>
              <w:t>3</w:t>
            </w:r>
            <w:r>
              <w:rPr>
                <w:rFonts w:hint="eastAsia" w:ascii="宋体" w:hAnsi="宋体" w:eastAsia="宋体" w:cs="宋体"/>
                <w:i w:val="0"/>
                <w:color w:val="000000"/>
                <w:kern w:val="0"/>
                <w:sz w:val="18"/>
                <w:szCs w:val="18"/>
                <w:u w:val="none"/>
                <w:lang w:val="en-US" w:eastAsia="zh-CN" w:bidi="ar"/>
              </w:rPr>
              <w:t>日修订）第三条第三款</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检查是否依法开展广告经营活动。</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13</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流通领域商品质量抽查检验</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《流通领域商品质量抽查检验办法》（国家工商总局令第</w:t>
            </w:r>
            <w:r>
              <w:rPr>
                <w:rFonts w:hint="default" w:ascii="楷体" w:hAnsi="楷体" w:eastAsia="楷体" w:cs="楷体"/>
                <w:i w:val="0"/>
                <w:color w:val="000000"/>
                <w:kern w:val="0"/>
                <w:sz w:val="18"/>
                <w:szCs w:val="18"/>
                <w:u w:val="none"/>
                <w:lang w:val="en-US" w:eastAsia="zh-CN" w:bidi="ar"/>
              </w:rPr>
              <w:t>61</w:t>
            </w:r>
            <w:r>
              <w:rPr>
                <w:rFonts w:hint="eastAsia" w:ascii="宋体" w:hAnsi="宋体" w:eastAsia="宋体" w:cs="宋体"/>
                <w:i w:val="0"/>
                <w:color w:val="000000"/>
                <w:kern w:val="0"/>
                <w:sz w:val="18"/>
                <w:szCs w:val="18"/>
                <w:u w:val="none"/>
                <w:lang w:val="en-US" w:eastAsia="zh-CN" w:bidi="ar"/>
              </w:rPr>
              <w:t xml:space="preserve">号）第三条 </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抽检的商品品种主要是消费者、有关组织、大众传播媒介反映的以及行政执法中发现有质量问题的商品，涉及人体健康、人身财产安全和影响国计民生的商品以及上级部门要求抽查的商品。</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14</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对企业法人违法经营行为监督检查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《企业法人登记管理条例》</w:t>
            </w:r>
            <w:r>
              <w:rPr>
                <w:rFonts w:hint="default" w:ascii="楷体" w:hAnsi="楷体" w:eastAsia="楷体" w:cs="楷体"/>
                <w:i w:val="0"/>
                <w:color w:val="000000"/>
                <w:kern w:val="0"/>
                <w:sz w:val="18"/>
                <w:szCs w:val="18"/>
                <w:u w:val="none"/>
                <w:lang w:val="en-US" w:eastAsia="zh-CN" w:bidi="ar"/>
              </w:rPr>
              <w:t>(</w:t>
            </w:r>
            <w:r>
              <w:rPr>
                <w:rFonts w:hint="eastAsia" w:ascii="宋体" w:hAnsi="宋体" w:eastAsia="宋体" w:cs="宋体"/>
                <w:i w:val="0"/>
                <w:color w:val="000000"/>
                <w:kern w:val="0"/>
                <w:sz w:val="18"/>
                <w:szCs w:val="18"/>
                <w:u w:val="none"/>
                <w:lang w:val="en-US" w:eastAsia="zh-CN" w:bidi="ar"/>
              </w:rPr>
              <w:t>国务院令第</w:t>
            </w:r>
            <w:r>
              <w:rPr>
                <w:rFonts w:hint="default" w:ascii="楷体" w:hAnsi="楷体" w:eastAsia="楷体" w:cs="楷体"/>
                <w:i w:val="0"/>
                <w:color w:val="000000"/>
                <w:kern w:val="0"/>
                <w:sz w:val="18"/>
                <w:szCs w:val="18"/>
                <w:u w:val="none"/>
                <w:lang w:val="en-US" w:eastAsia="zh-CN" w:bidi="ar"/>
              </w:rPr>
              <w:t>1</w:t>
            </w:r>
            <w:r>
              <w:rPr>
                <w:rFonts w:hint="eastAsia" w:ascii="宋体" w:hAnsi="宋体" w:eastAsia="宋体" w:cs="宋体"/>
                <w:i w:val="0"/>
                <w:color w:val="000000"/>
                <w:kern w:val="0"/>
                <w:sz w:val="18"/>
                <w:szCs w:val="18"/>
                <w:u w:val="none"/>
                <w:lang w:val="en-US" w:eastAsia="zh-CN" w:bidi="ar"/>
              </w:rPr>
              <w:t>号，</w:t>
            </w:r>
            <w:r>
              <w:rPr>
                <w:rFonts w:hint="default" w:ascii="楷体" w:hAnsi="楷体" w:eastAsia="楷体" w:cs="楷体"/>
                <w:i w:val="0"/>
                <w:color w:val="000000"/>
                <w:kern w:val="0"/>
                <w:sz w:val="18"/>
                <w:szCs w:val="18"/>
                <w:u w:val="none"/>
                <w:lang w:val="en-US" w:eastAsia="zh-CN" w:bidi="ar"/>
              </w:rPr>
              <w:t>2014</w:t>
            </w:r>
            <w:r>
              <w:rPr>
                <w:rFonts w:hint="eastAsia" w:ascii="宋体" w:hAnsi="宋体" w:eastAsia="宋体" w:cs="宋体"/>
                <w:i w:val="0"/>
                <w:color w:val="000000"/>
                <w:kern w:val="0"/>
                <w:sz w:val="18"/>
                <w:szCs w:val="18"/>
                <w:u w:val="none"/>
                <w:lang w:val="en-US" w:eastAsia="zh-CN" w:bidi="ar"/>
              </w:rPr>
              <w:t>年</w:t>
            </w:r>
            <w:r>
              <w:rPr>
                <w:rFonts w:hint="default" w:ascii="楷体" w:hAnsi="楷体" w:eastAsia="楷体" w:cs="楷体"/>
                <w:i w:val="0"/>
                <w:color w:val="000000"/>
                <w:kern w:val="0"/>
                <w:sz w:val="18"/>
                <w:szCs w:val="18"/>
                <w:u w:val="none"/>
                <w:lang w:val="en-US" w:eastAsia="zh-CN" w:bidi="ar"/>
              </w:rPr>
              <w:t>2</w:t>
            </w:r>
            <w:r>
              <w:rPr>
                <w:rFonts w:hint="eastAsia" w:ascii="宋体" w:hAnsi="宋体" w:eastAsia="宋体" w:cs="宋体"/>
                <w:i w:val="0"/>
                <w:color w:val="000000"/>
                <w:kern w:val="0"/>
                <w:sz w:val="18"/>
                <w:szCs w:val="18"/>
                <w:u w:val="none"/>
                <w:lang w:val="en-US" w:eastAsia="zh-CN" w:bidi="ar"/>
              </w:rPr>
              <w:t>月</w:t>
            </w:r>
            <w:r>
              <w:rPr>
                <w:rFonts w:hint="default" w:ascii="楷体" w:hAnsi="楷体" w:eastAsia="楷体" w:cs="楷体"/>
                <w:i w:val="0"/>
                <w:color w:val="000000"/>
                <w:kern w:val="0"/>
                <w:sz w:val="18"/>
                <w:szCs w:val="18"/>
                <w:u w:val="none"/>
                <w:lang w:val="en-US" w:eastAsia="zh-CN" w:bidi="ar"/>
              </w:rPr>
              <w:t>19</w:t>
            </w:r>
            <w:r>
              <w:rPr>
                <w:rFonts w:hint="eastAsia" w:ascii="宋体" w:hAnsi="宋体" w:eastAsia="宋体" w:cs="宋体"/>
                <w:i w:val="0"/>
                <w:color w:val="000000"/>
                <w:kern w:val="0"/>
                <w:sz w:val="18"/>
                <w:szCs w:val="18"/>
                <w:u w:val="none"/>
                <w:lang w:val="en-US" w:eastAsia="zh-CN" w:bidi="ar"/>
              </w:rPr>
              <w:t>日修订</w:t>
            </w:r>
            <w:r>
              <w:rPr>
                <w:rFonts w:hint="default" w:ascii="楷体" w:hAnsi="楷体" w:eastAsia="楷体" w:cs="楷体"/>
                <w:i w:val="0"/>
                <w:color w:val="000000"/>
                <w:kern w:val="0"/>
                <w:sz w:val="18"/>
                <w:szCs w:val="18"/>
                <w:u w:val="none"/>
                <w:lang w:val="en-US" w:eastAsia="zh-CN" w:bidi="ar"/>
              </w:rPr>
              <w:t xml:space="preserve">) </w:t>
            </w:r>
            <w:r>
              <w:rPr>
                <w:rFonts w:hint="eastAsia" w:ascii="宋体" w:hAnsi="宋体" w:eastAsia="宋体" w:cs="宋体"/>
                <w:i w:val="0"/>
                <w:color w:val="000000"/>
                <w:kern w:val="0"/>
                <w:sz w:val="18"/>
                <w:szCs w:val="18"/>
                <w:u w:val="none"/>
                <w:lang w:val="en-US" w:eastAsia="zh-CN" w:bidi="ar"/>
              </w:rPr>
              <w:t>第四条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检查企业法人是否按照规定办理登记，是否按照登记注册事项从事经营活动，企业法人和法定代表人是否遵守工商行政管理法律、法规和政策，制止和查处企业法人的违法经营活动。</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15</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对不正当竞争行为的检查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《反不正当竞争法》（主席令第</w:t>
            </w:r>
            <w:r>
              <w:rPr>
                <w:rFonts w:hint="default" w:ascii="楷体" w:hAnsi="楷体" w:eastAsia="楷体" w:cs="楷体"/>
                <w:i w:val="0"/>
                <w:color w:val="000000"/>
                <w:kern w:val="0"/>
                <w:sz w:val="18"/>
                <w:szCs w:val="18"/>
                <w:u w:val="none"/>
                <w:lang w:val="en-US" w:eastAsia="zh-CN" w:bidi="ar"/>
              </w:rPr>
              <w:t>10</w:t>
            </w:r>
            <w:r>
              <w:rPr>
                <w:rFonts w:hint="eastAsia" w:ascii="宋体" w:hAnsi="宋体" w:eastAsia="宋体" w:cs="宋体"/>
                <w:i w:val="0"/>
                <w:color w:val="000000"/>
                <w:kern w:val="0"/>
                <w:sz w:val="18"/>
                <w:szCs w:val="18"/>
                <w:u w:val="none"/>
                <w:lang w:val="en-US" w:eastAsia="zh-CN" w:bidi="ar"/>
              </w:rPr>
              <w:t xml:space="preserve">号）第三条 </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检查是否存在《反不正当竞争法》规定的不正当竞争行为。</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16</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对侵犯消费者权益行为监督检查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《消费者权益保护法》 （主席令第</w:t>
            </w:r>
            <w:r>
              <w:rPr>
                <w:rFonts w:hint="default" w:ascii="楷体" w:hAnsi="楷体" w:eastAsia="楷体" w:cs="楷体"/>
                <w:i w:val="0"/>
                <w:color w:val="000000"/>
                <w:kern w:val="0"/>
                <w:sz w:val="18"/>
                <w:szCs w:val="18"/>
                <w:u w:val="none"/>
                <w:lang w:val="en-US" w:eastAsia="zh-CN" w:bidi="ar"/>
              </w:rPr>
              <w:t>7</w:t>
            </w:r>
            <w:r>
              <w:rPr>
                <w:rFonts w:hint="eastAsia" w:ascii="宋体" w:hAnsi="宋体" w:eastAsia="宋体" w:cs="宋体"/>
                <w:i w:val="0"/>
                <w:color w:val="000000"/>
                <w:kern w:val="0"/>
                <w:sz w:val="18"/>
                <w:szCs w:val="18"/>
                <w:u w:val="none"/>
                <w:lang w:val="en-US" w:eastAsia="zh-CN" w:bidi="ar"/>
              </w:rPr>
              <w:t>号） 第三十二条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检查是否存在侵害消费者权益行为；</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17</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对标准化的监督检查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《标准化法》（主席令第</w:t>
            </w:r>
            <w:r>
              <w:rPr>
                <w:rFonts w:hint="default" w:ascii="楷体" w:hAnsi="楷体" w:eastAsia="楷体" w:cs="楷体"/>
                <w:i w:val="0"/>
                <w:color w:val="000000"/>
                <w:kern w:val="0"/>
                <w:sz w:val="18"/>
                <w:szCs w:val="18"/>
                <w:u w:val="none"/>
                <w:lang w:val="en-US" w:eastAsia="zh-CN" w:bidi="ar"/>
              </w:rPr>
              <w:t>11</w:t>
            </w:r>
            <w:r>
              <w:rPr>
                <w:rFonts w:hint="eastAsia" w:ascii="宋体" w:hAnsi="宋体" w:eastAsia="宋体" w:cs="宋体"/>
                <w:i w:val="0"/>
                <w:color w:val="000000"/>
                <w:kern w:val="0"/>
                <w:sz w:val="18"/>
                <w:szCs w:val="18"/>
                <w:u w:val="none"/>
                <w:lang w:val="en-US" w:eastAsia="zh-CN" w:bidi="ar"/>
              </w:rPr>
              <w:t>号） 第十八条、第十九条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检查是否严格执行强制性标准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18</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对直销企业和直销员及其直销活动的抽查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《直销管理条例》（国务院令第</w:t>
            </w:r>
            <w:r>
              <w:rPr>
                <w:rFonts w:hint="default" w:ascii="楷体" w:hAnsi="楷体" w:eastAsia="楷体" w:cs="楷体"/>
                <w:i w:val="0"/>
                <w:color w:val="000000"/>
                <w:kern w:val="0"/>
                <w:sz w:val="18"/>
                <w:szCs w:val="18"/>
                <w:u w:val="none"/>
                <w:lang w:val="en-US" w:eastAsia="zh-CN" w:bidi="ar"/>
              </w:rPr>
              <w:t>443</w:t>
            </w:r>
            <w:r>
              <w:rPr>
                <w:rFonts w:hint="eastAsia" w:ascii="宋体" w:hAnsi="宋体" w:eastAsia="宋体" w:cs="宋体"/>
                <w:i w:val="0"/>
                <w:color w:val="000000"/>
                <w:kern w:val="0"/>
                <w:sz w:val="18"/>
                <w:szCs w:val="18"/>
                <w:u w:val="none"/>
                <w:lang w:val="en-US" w:eastAsia="zh-CN" w:bidi="ar"/>
              </w:rPr>
              <w:t xml:space="preserve">号）第三十五条 </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检查直销企业及其直销员的相关直销活动是否符合《直销管理条例》的规定。</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19</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对商标代理机构监督检查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《商标代理管理办法》（第四条第二款）</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商标代理机构是否有违法行为</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20</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对商标印制活动监督检查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《印刷业管理条例》（国务院令第</w:t>
            </w:r>
            <w:r>
              <w:rPr>
                <w:rFonts w:hint="default" w:ascii="楷体" w:hAnsi="楷体" w:eastAsia="楷体" w:cs="楷体"/>
                <w:i w:val="0"/>
                <w:color w:val="000000"/>
                <w:kern w:val="0"/>
                <w:sz w:val="18"/>
                <w:szCs w:val="18"/>
                <w:u w:val="none"/>
                <w:lang w:val="en-US" w:eastAsia="zh-CN" w:bidi="ar"/>
              </w:rPr>
              <w:t>315</w:t>
            </w:r>
            <w:r>
              <w:rPr>
                <w:rFonts w:hint="eastAsia" w:ascii="宋体" w:hAnsi="宋体" w:eastAsia="宋体" w:cs="宋体"/>
                <w:i w:val="0"/>
                <w:color w:val="000000"/>
                <w:kern w:val="0"/>
                <w:sz w:val="18"/>
                <w:szCs w:val="18"/>
                <w:u w:val="none"/>
                <w:lang w:val="en-US" w:eastAsia="zh-CN" w:bidi="ar"/>
              </w:rPr>
              <w:t>号，</w:t>
            </w:r>
            <w:r>
              <w:rPr>
                <w:rFonts w:hint="default" w:ascii="楷体" w:hAnsi="楷体" w:eastAsia="楷体" w:cs="楷体"/>
                <w:i w:val="0"/>
                <w:color w:val="000000"/>
                <w:kern w:val="0"/>
                <w:sz w:val="18"/>
                <w:szCs w:val="18"/>
                <w:u w:val="none"/>
                <w:lang w:val="en-US" w:eastAsia="zh-CN" w:bidi="ar"/>
              </w:rPr>
              <w:t>2001</w:t>
            </w:r>
            <w:r>
              <w:rPr>
                <w:rFonts w:hint="eastAsia" w:ascii="宋体" w:hAnsi="宋体" w:eastAsia="宋体" w:cs="宋体"/>
                <w:i w:val="0"/>
                <w:color w:val="000000"/>
                <w:kern w:val="0"/>
                <w:sz w:val="18"/>
                <w:szCs w:val="18"/>
                <w:u w:val="none"/>
                <w:lang w:val="en-US" w:eastAsia="zh-CN" w:bidi="ar"/>
              </w:rPr>
              <w:t>年</w:t>
            </w:r>
            <w:r>
              <w:rPr>
                <w:rFonts w:hint="default" w:ascii="楷体" w:hAnsi="楷体" w:eastAsia="楷体" w:cs="楷体"/>
                <w:i w:val="0"/>
                <w:color w:val="000000"/>
                <w:kern w:val="0"/>
                <w:sz w:val="18"/>
                <w:szCs w:val="18"/>
                <w:u w:val="none"/>
                <w:lang w:val="en-US" w:eastAsia="zh-CN" w:bidi="ar"/>
              </w:rPr>
              <w:t>8</w:t>
            </w:r>
            <w:r>
              <w:rPr>
                <w:rFonts w:hint="eastAsia" w:ascii="宋体" w:hAnsi="宋体" w:eastAsia="宋体" w:cs="宋体"/>
                <w:i w:val="0"/>
                <w:color w:val="000000"/>
                <w:kern w:val="0"/>
                <w:sz w:val="18"/>
                <w:szCs w:val="18"/>
                <w:u w:val="none"/>
                <w:lang w:val="en-US" w:eastAsia="zh-CN" w:bidi="ar"/>
              </w:rPr>
              <w:t>月</w:t>
            </w:r>
            <w:r>
              <w:rPr>
                <w:rFonts w:hint="default" w:ascii="楷体" w:hAnsi="楷体" w:eastAsia="楷体" w:cs="楷体"/>
                <w:i w:val="0"/>
                <w:color w:val="000000"/>
                <w:kern w:val="0"/>
                <w:sz w:val="18"/>
                <w:szCs w:val="18"/>
                <w:u w:val="none"/>
                <w:lang w:val="en-US" w:eastAsia="zh-CN" w:bidi="ar"/>
              </w:rPr>
              <w:t>2</w:t>
            </w:r>
            <w:r>
              <w:rPr>
                <w:rFonts w:hint="eastAsia" w:ascii="宋体" w:hAnsi="宋体" w:eastAsia="宋体" w:cs="宋体"/>
                <w:i w:val="0"/>
                <w:color w:val="000000"/>
                <w:kern w:val="0"/>
                <w:sz w:val="18"/>
                <w:szCs w:val="18"/>
                <w:u w:val="none"/>
                <w:lang w:val="en-US" w:eastAsia="zh-CN" w:bidi="ar"/>
              </w:rPr>
              <w:t>日发布）第四条第二款）</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商标印刷企业是否有违法行为</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网络商品市场监管</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《网络交易管理办法》第七条、第八条、第十九条、第二十三条、第二十五条、第二十六条、第二十九条、第三十条、第三十四条、第三十九条；《工商总局关于加强和规范网络交易商品质量抽查检验的意见》</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从事网络商品交易的自然人、第三方交易平台经营者和非平台经营者以及从事网络商品交易及有关服务的经营主体、经营行为和网络交易商品质量进行抽查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5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企业公示信息抽查、个体工商户的年度报告抽查、农民专业合作社年度报告公示信息抽查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《企业信息公示暂行条例》第十四条；</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《企业公示信息抽查暂行办法》第四条、第五条、第六条；</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《个体工商户年度报告暂行办法》第十一条；</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《农民专业合作社年度报告暂行办法》第八条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检查是否存在年报信息隐瞒真实情况、弄虚作假等或者通过登记的住所或经营场所无法取得联系的</w:t>
            </w:r>
            <w:r>
              <w:rPr>
                <w:rStyle w:val="12"/>
                <w:rFonts w:hint="default" w:ascii="Times New Roman" w:hAnsi="Times New Roman" w:eastAsia="仿宋_GB2312" w:cs="Times New Roman"/>
                <w:sz w:val="21"/>
                <w:szCs w:val="21"/>
                <w:lang w:val="en-US" w:eastAsia="zh-CN" w:bidi="ar"/>
              </w:rPr>
              <w:t>。</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23</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农资市场监管</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《农业生产资料市场监督管理办法》第四条、第十二条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对农资经营户的经营主体、经营行为和农资商品质量进行抽查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24</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经纪人及经纪活动的监督管理</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《经纪人管理办法》第五条、第十九条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对经纪人的经营主体和经纪活动进行抽查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25</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“守合同重信用”企业公示动态监管</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《工商总局关于“守合同重信用”企业公示工作的若干意见》第（十三）款</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检查已公示的“守合同重信用”企业是否</w:t>
            </w:r>
            <w:r>
              <w:rPr>
                <w:rStyle w:val="16"/>
                <w:rFonts w:hint="default" w:ascii="Times New Roman" w:hAnsi="Times New Roman" w:eastAsia="仿宋_GB2312" w:cs="Times New Roman"/>
                <w:sz w:val="21"/>
                <w:szCs w:val="21"/>
                <w:lang w:val="en-US" w:eastAsia="zh-CN" w:bidi="ar"/>
              </w:rPr>
              <w:t>是否存在合同失信行为及其他重大失信行为及</w:t>
            </w:r>
            <w:r>
              <w:rPr>
                <w:rStyle w:val="12"/>
                <w:rFonts w:hint="default" w:ascii="Times New Roman" w:hAnsi="Times New Roman" w:eastAsia="仿宋_GB2312" w:cs="Times New Roman"/>
                <w:sz w:val="21"/>
                <w:szCs w:val="21"/>
                <w:lang w:val="en-US" w:eastAsia="zh-CN" w:bidi="ar"/>
              </w:rPr>
              <w:t>违反《工商总局关于“守合同重信用”企业公示工作的若干意见》的规定，对涉及违反行为依法监管。</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26</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对制造、修理、销售、使用计量器具企业的抽查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《计量法》第四条，《计量法实施细则》第二十一条、第二十三条、第二十六条，《制造、修理计量器具许可监督管理办法》第五条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检查制造、修理、销售、使用计量器具的企业或单位的生产经营活动是否符合法律、法规及规章的规定。</w:t>
            </w:r>
            <w:r>
              <w:rPr>
                <w:rStyle w:val="12"/>
                <w:rFonts w:hint="default" w:ascii="Times New Roman" w:hAnsi="Times New Roman" w:eastAsia="仿宋_GB2312" w:cs="Times New Roman"/>
                <w:sz w:val="21"/>
                <w:szCs w:val="21"/>
                <w:lang w:val="en-US" w:eastAsia="zh-CN" w:bidi="ar"/>
              </w:rPr>
              <w:t>对涉嫌违法行为依法开展调查。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27</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对特种设备生产（含设计、制造、安装、改造、维修）单位许可证后监管的检查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《特种设备安全法》第57条</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质检总局关于发布&lt;特种设备现场安全监督检查规则&gt;的公告》(2015年第5号)</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是否持续满足许可条件，是否依法开展生产活动</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28</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特种设备检验、检测机构的抽查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《特种设备安全法》第57条</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《质检总局关于发布&lt;特种设备现场安全监督检查规则&gt;的公告》(2015年第5号)</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是否依法开展检验检测活动</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29</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产品质量监督抽查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 xml:space="preserve">《产品质量法》第十五条 </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《产品质量监督抽查管理办法》第五条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依法对辖区生产、销售的产品进行有计划的随机抽样、检验，并对结果公布和处理。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2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30</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工业产品生产许可证发证产品监督检查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《中华人民共和国行政许可法》、《中华人民共和国工业产品生产许可证管理条例》第三十九条、《中华人民共和国工业产品生产许可证管理条例实施办法》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对获得工业产品生产证企业进行监督检查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移动式压力容器、气瓶充装单位许可证后监管的检查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《特种设备安全法》第57条</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《质检总局关于发布&lt;特种设备现场安全监督检查规则&gt;的公告》(2015年第5号)</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是否持续满足许可条件，是否依法开展充装活动</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对特种设备经营、使用单位的抽查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《特种设备安全法》第57条《质检总局关于发布&lt;特种设备现场安全监督检查规则&gt;的公告》(2015年第5号)</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是否依法开展特种设备经营和使用</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33</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检验检测机构的监督管理</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《检验检测机构资质认定管理办法》第五条、第三十三条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检查检验检测机构及其出具的报告是否符合《检验检测机构资质认定管理办法》的规定，对涉嫌违法行为依法开展调查。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34</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强制性产品认证活动、认证标志的监督管理</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《强制性产品认证管理规定》第三条、第三十七条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强制性产品认证活动、认证标志</w:t>
            </w:r>
            <w:r>
              <w:rPr>
                <w:rStyle w:val="12"/>
                <w:rFonts w:hint="default" w:ascii="Times New Roman" w:hAnsi="Times New Roman" w:eastAsia="仿宋_GB2312" w:cs="Times New Roman"/>
                <w:sz w:val="21"/>
                <w:szCs w:val="21"/>
                <w:lang w:val="en-US" w:eastAsia="zh-CN" w:bidi="ar"/>
              </w:rPr>
              <w:t>是否符合《强制性产品认证管理规定》的规定，对违法行为依法开展调查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市场监管局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35</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有机产品认证活动的监督检查和行政执法</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《中华人民共和国认证认可条例》第五条、第六条《有机产品认证管理办法》第四条、第三十八条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有机产品认证活动</w:t>
            </w:r>
            <w:r>
              <w:rPr>
                <w:rStyle w:val="12"/>
                <w:rFonts w:hint="default" w:ascii="Times New Roman" w:hAnsi="Times New Roman" w:eastAsia="仿宋_GB2312" w:cs="Times New Roman"/>
                <w:sz w:val="21"/>
                <w:szCs w:val="21"/>
                <w:lang w:val="en-US" w:eastAsia="zh-CN" w:bidi="ar"/>
              </w:rPr>
              <w:t>是否符合《有机产品认证管理办法》的规定，对涉嫌违法行为依法开展调查。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气象局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防雷管理</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《中华人民共和国气象法》第31条、《吉林省气象条例》第23条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重点对被抽查单位防雷安全情况进行抽查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采用抽签方式确定抽查人员及被抽查相关单位名单</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12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粮商局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粮食收购者的粮食收购资格，及其在粮食收购活动中执行国家有关法律、法规、规章和粮食收购政策情况。</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rPr>
            </w:pPr>
            <w:r>
              <w:rPr>
                <w:rFonts w:hint="eastAsia" w:ascii="宋体" w:hAnsi="宋体" w:eastAsia="宋体" w:cs="宋体"/>
                <w:i w:val="0"/>
                <w:color w:val="000000"/>
                <w:kern w:val="0"/>
                <w:sz w:val="18"/>
                <w:szCs w:val="18"/>
                <w:u w:val="none"/>
                <w:lang w:val="en-US" w:eastAsia="zh-CN" w:bidi="ar"/>
              </w:rPr>
              <w:t>《粮食收购资格审核管理暂行办法》、《粮食流通管理条例》第九条、十条、十一条、十二条、第三十四条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收购者是否具备粮食收购资格；粮食收购者《粮食收购许可证》所登记的内容有无重大变化;粮食收购者有无涂改、倒卖、出租、出借的《粮食收购许可证》的行为；粮食收购者是否遵守国家有关法律、法规和粮食收购政策。</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专项或定期或不定期</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粮商局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粮食经营者使用的粮食仓储设施、设备的质量和标准情况。</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《粮食流通管理条例》第十四条、《粮油仓储管理办法》第七条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是否拥有固定经营场地，并符合本办法有关污染源、危险源安全距离的规定；是否拥有与从事粮油仓储活动相适应的设施设备，并符合粮油储藏技术规范的要求；是否拥有相应的专业技术管理人员。</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专项或定期或不定期</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3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粮商局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粮食经营者在粮食收购、储存活动中，执行国家粮食质量标准和国家有关粮食仓储技术标准、规范情况，其收购、储存的原粮是否符合国家有关标准和规定。</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《粮食流通管理条例》第十四条、十五条、《粮油仓储管理办法》第七条、第九条、第十条、第十二条、第十三条、第十五条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是否执行粮食出入库管理、粮食储存管理、粮油仓储备案管理制度。</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专项或定期或不定期</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粮商局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粮食经营者执行国家粮食运输技术标准和规范情况。</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《粮食流通管理条例》第十五条、《粮油仓储管理办法》第十三条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经营者是否依照《粮食流通管理条例》规定使用粮食仓储设施、运输工具的出库粮油包装物和运输工具，不得对粮油造成污染。未经处理的严重虫粮、危险虫粮不得出库。可能存在发热危险的粮油不得长途运输。</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专项或定期或不定期</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粮商局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粮食储存企业建立并执行粮食销售出库质量检验制度情况。</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《粮食收购管理条例》第十八条、《粮食质量监管实施办法》第七条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储存企业对超过正常储存年限的陈粮，在出库前是否经过应当经过粮食质量检验机构进行质量鉴定，凡已陈化变质、不符合食用卫生标准的粮食，严禁流入口粮市场。陈化粮销售、处理，依照国家有关规定执行。</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专项或定期或不定期</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粮商局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从事粮食收购、加工、销售的经营者执行省级人民政府制定的最低和最高库存量规定的情况。</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《粮食流通管理条例》第十九条、吉林省《粮食流通管理条例》实施办法第二十四条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是否执行省政府制定的粮食库存最低库存量或最高库存量规定。</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专项或定期或不定期</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粮商局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粮食经营者执行国家陈化粮销售处理有关规定情况。</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《粮食流通管理条例》第四十四条、《粮食流通监督检查暂行办法》第二十七条《粮食质量监管暂行办法》第十条《粮油仓储管理办法》第二十一条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超过正常储存年限的陈粮，出库前是否按规定经有资质的粮食质量检验机构进行质量鉴定.</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专项或定期或不定期</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8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粮商局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8</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地方储备粮经营管理机构及地方储备粮承储企业执行地方储备粮管理有关政策和规定情况；地方储备粮的数量、质量、储存安全以及轮换计划执行情况；各项规章制度、标准与规范执行情况，以及地方储备粮承储企业的承储资格情况。</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《粮食流通管理条例》第三十四条、《粮食流通监督检查暂行办法》第七条《粮食质量监管暂行办法》第五条《粮油仓储管理办法》第三条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粮食收购者未执行国家粮食质量标准的；</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粮食收购者被售粮者举报未及时支付售粮款的；粮食收购者违反本条例规定代扣、代缴税、费和其他款项的；从事粮食收购、销售、储存、加工的粮食经营者以及饲料、工业用粮企业未建立粮食经营台账，或者未按照规定报送粮食基本数据和有关情况的；接受委托的粮食经营者从事政策性用粮的购销活动未执行国家有关政策的。</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专项或定期或不定期</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2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粮商局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9</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从事军粮供应、退耕还林粮食供应、水库移民粮食供应、救灾粮供应等政策性用粮经营活动的粮食经营者执行有关法律、法规、规章和政策情况。</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《粮食收购管理条例》第十七条《粮食质量监管暂行办法》第六条《粮食流通监督检查暂行办法》第七条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接受委托的粮食经营者从事政策性用粮的购销活动未执行国家有关政策的；是否严格执行国家有关粮食质量、卫生标准，不得短斤少两、掺杂使假、以次充好，不得囤积居奇、垄断或者操纵粮食价格、欺行霸市。</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专项或定期或不定期</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2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粮商局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10</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粮食经营者建立粮食经营台账，执行国家粮食流通统计制度情况。</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《粮食收购管理条例》第三十四条、《国家粮食流通统计制度》第二十六条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存在虚报、瞒报、拒报、漏报、迟报、伪造、篡改统计资料的行为；是否设置原始记录，建立统计台账；是否依法设立统计机构或配备统计人员；统计人员是否持证上岗，其调动是否符合有关规定；有无侵犯统计机构和统计人员职权的行为；统计资料的管理和公布是否符合有关规定，有无泄露国家秘密、调查对象的商业秘密和企业、私人、家庭单项调查资料的行为；是否按规定的调查方案进行调查，有无改变调查内容、调查对象和调查时间等问题，是否在统计调查表的右上角标明法定标识； 法律、法规和规章规定的其他事项。</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专项或定期或不定期</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粮商局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粮食经营者依照粮食应急预案规定，承担相应义务，执行相关规定情况。</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《粮食流通管理条例》第三十三条、《粮食流通监督检查暂行办法》第七条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粮食经营者在粮食应急预案启动后不履行有关义务的，依照国家有关规定处理.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专项或定期或不定期</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粮商局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法律、法规、规章和政策规定需要进行监督检查的其他内容。</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《粮食流通管理条例》第三十四条、《粮食流通监督检查暂行办法》第七条、《粮食质量监管暂行办法》第六条《粮油仓储管理办法》第六条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粮食行政管理部门依照《粮食流通管理条例》对粮食经营者从事粮食收购、储存、运输活动和政策性用粮的购销活动，以及执行国家粮食流通统计制度的情况进行监督检查.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专项或定期或不定期</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eastAsia="zh-CN"/>
              </w:rPr>
            </w:pPr>
            <w:r>
              <w:rPr>
                <w:rFonts w:hint="default" w:ascii="Times New Roman" w:hAnsi="Times New Roman" w:eastAsia="仿宋_GB2312" w:cs="Times New Roman"/>
                <w:i w:val="0"/>
                <w:color w:val="000000"/>
                <w:sz w:val="21"/>
                <w:szCs w:val="21"/>
                <w:u w:val="none"/>
                <w:lang w:eastAsia="zh-CN"/>
              </w:rPr>
              <w:t>财政局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color w:val="000000"/>
                <w:kern w:val="0"/>
                <w:sz w:val="21"/>
                <w:szCs w:val="21"/>
                <w:lang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Times New Roman" w:hAnsi="Times New Roman" w:eastAsia="仿宋_GB2312" w:cs="Times New Roman"/>
                <w:i w:val="0"/>
                <w:color w:val="000000"/>
                <w:sz w:val="21"/>
                <w:szCs w:val="21"/>
                <w:u w:val="none"/>
              </w:rPr>
            </w:pPr>
            <w:r>
              <w:rPr>
                <w:rStyle w:val="11"/>
                <w:rFonts w:hint="default" w:ascii="Times New Roman" w:hAnsi="Times New Roman" w:eastAsia="仿宋_GB2312" w:cs="Times New Roman"/>
                <w:sz w:val="21"/>
                <w:szCs w:val="21"/>
                <w:lang w:bidi="ar"/>
              </w:rPr>
              <w:t>会计监督检查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Times New Roman" w:hAnsi="Times New Roman" w:eastAsia="仿宋_GB2312" w:cs="Times New Roman"/>
                <w:i w:val="0"/>
                <w:color w:val="000000"/>
                <w:sz w:val="21"/>
                <w:szCs w:val="21"/>
                <w:u w:val="none"/>
              </w:rPr>
            </w:pPr>
            <w:r>
              <w:rPr>
                <w:rStyle w:val="11"/>
                <w:rFonts w:hint="default" w:ascii="Times New Roman" w:hAnsi="Times New Roman" w:eastAsia="仿宋_GB2312" w:cs="Times New Roman"/>
                <w:sz w:val="21"/>
                <w:szCs w:val="21"/>
                <w:lang w:bidi="ar"/>
              </w:rPr>
              <w:t>《财政部门监督办法》（2012年财政部令第69号）</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《财政检查工作办法》（2006年财政部令第32号）</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《中华人民共和国行政处罚法》（1996年3月17日通过，2009年8月27日修订）</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《财政监督检查结果跟踪整改落实暂行办法》（2015年吉财监〔2015〕614号）</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《财政监督检查约谈制度》（2015吉财监〔2015〕615号）</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Times New Roman" w:hAnsi="Times New Roman" w:eastAsia="仿宋_GB2312" w:cs="Times New Roman"/>
                <w:i w:val="0"/>
                <w:color w:val="000000"/>
                <w:sz w:val="21"/>
                <w:szCs w:val="21"/>
                <w:u w:val="none"/>
              </w:rPr>
            </w:pPr>
            <w:r>
              <w:rPr>
                <w:rStyle w:val="11"/>
                <w:rFonts w:hint="default" w:ascii="Times New Roman" w:hAnsi="Times New Roman" w:eastAsia="仿宋_GB2312" w:cs="Times New Roman"/>
                <w:sz w:val="21"/>
                <w:szCs w:val="21"/>
                <w:lang w:bidi="ar"/>
              </w:rPr>
              <w:t>1.对未依法设置会计账簿的检查</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2.对会计人员配备不合规的检查</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3.对未按照规定建立并实施单位内部会计监督制度或者拒绝依法实施的监督或者不如实提供有关会计资料及有关情况的检查</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4.对违反会计核算规定的检查</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5.对伪造、变造会计资料或隐匿、故意销毁应当保存的会计资料或者授意指使强令会计机构、会计人员及其他人员伪造、变造会计资料，编制虚假财务会计报告或者隐匿、故意销毁依法应当保存的会计资料的检查</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6.对单位和个人违反财务管理的规定、私存私放财政资金或者其他公款的检查</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7.对违反国有资产管理规定的检查</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8.对国家机关及其工作人员违反国家有关账户管理规定的检查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Times New Roman" w:hAnsi="Times New Roman" w:eastAsia="仿宋_GB2312" w:cs="Times New Roman"/>
                <w:i w:val="0"/>
                <w:color w:val="000000"/>
                <w:sz w:val="21"/>
                <w:szCs w:val="21"/>
                <w:u w:val="none"/>
              </w:rPr>
            </w:pPr>
            <w:r>
              <w:rPr>
                <w:rStyle w:val="11"/>
                <w:rFonts w:hint="default" w:ascii="Times New Roman" w:hAnsi="Times New Roman" w:eastAsia="仿宋_GB2312" w:cs="Times New Roman"/>
                <w:sz w:val="21"/>
                <w:szCs w:val="21"/>
                <w:lang w:bidi="ar"/>
              </w:rPr>
              <w:t>上级指派</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资金监管要求</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群众举报</w:t>
            </w:r>
          </w:p>
        </w:tc>
        <w:tc>
          <w:tcPr>
            <w:tcW w:w="820"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widowControl/>
              <w:ind w:left="113" w:leftChars="0" w:right="113" w:rightChars="0"/>
              <w:jc w:val="both"/>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color w:val="000000"/>
                <w:sz w:val="21"/>
                <w:szCs w:val="21"/>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eastAsia="zh-CN"/>
              </w:rPr>
            </w:pPr>
            <w:r>
              <w:rPr>
                <w:rFonts w:hint="default" w:ascii="Times New Roman" w:hAnsi="Times New Roman" w:eastAsia="仿宋_GB2312" w:cs="Times New Roman"/>
                <w:i w:val="0"/>
                <w:color w:val="000000"/>
                <w:sz w:val="21"/>
                <w:szCs w:val="21"/>
                <w:u w:val="none"/>
                <w:lang w:eastAsia="zh-CN"/>
              </w:rPr>
              <w:t>财政局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Times New Roman" w:hAnsi="Times New Roman" w:eastAsia="仿宋_GB2312" w:cs="Times New Roman"/>
                <w:i w:val="0"/>
                <w:color w:val="000000"/>
                <w:sz w:val="21"/>
                <w:szCs w:val="21"/>
                <w:u w:val="none"/>
              </w:rPr>
            </w:pPr>
            <w:r>
              <w:rPr>
                <w:rStyle w:val="11"/>
                <w:rFonts w:hint="default" w:ascii="Times New Roman" w:hAnsi="Times New Roman" w:eastAsia="仿宋_GB2312" w:cs="Times New Roman"/>
                <w:sz w:val="21"/>
                <w:szCs w:val="21"/>
                <w:lang w:bidi="ar"/>
              </w:rPr>
              <w:t>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Times New Roman" w:hAnsi="Times New Roman" w:eastAsia="仿宋_GB2312" w:cs="Times New Roman"/>
                <w:i w:val="0"/>
                <w:color w:val="000000"/>
                <w:sz w:val="21"/>
                <w:szCs w:val="21"/>
                <w:u w:val="none"/>
              </w:rPr>
            </w:pPr>
            <w:r>
              <w:rPr>
                <w:rStyle w:val="11"/>
                <w:rFonts w:hint="default" w:ascii="Times New Roman" w:hAnsi="Times New Roman" w:eastAsia="仿宋_GB2312" w:cs="Times New Roman"/>
                <w:sz w:val="21"/>
                <w:szCs w:val="21"/>
                <w:lang w:bidi="ar"/>
              </w:rPr>
              <w:t>财政收入资金监督检查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Times New Roman" w:hAnsi="Times New Roman" w:eastAsia="仿宋_GB2312" w:cs="Times New Roman"/>
                <w:i w:val="0"/>
                <w:color w:val="000000"/>
                <w:sz w:val="21"/>
                <w:szCs w:val="21"/>
                <w:u w:val="none"/>
              </w:rPr>
            </w:pPr>
            <w:r>
              <w:rPr>
                <w:rStyle w:val="11"/>
                <w:rFonts w:hint="default" w:ascii="Times New Roman" w:hAnsi="Times New Roman" w:eastAsia="仿宋_GB2312" w:cs="Times New Roman"/>
                <w:sz w:val="21"/>
                <w:szCs w:val="21"/>
                <w:lang w:bidi="ar"/>
              </w:rPr>
              <w:t>《财政部门监督办法》（2012年财政部令第69号）</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《财政检查工作办法》（2006年财政部令第32号）</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《中华人民共和国行政处罚法》（1996年3月17日通过，2009年8月27日修订）</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《财政监督检查结果跟踪整改落实暂行办法》（2015年吉财监〔2015〕614号）</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《财政监督检查约谈制度》（2015吉财监〔2015〕616号）</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Times New Roman" w:hAnsi="Times New Roman" w:eastAsia="仿宋_GB2312" w:cs="Times New Roman"/>
                <w:i w:val="0"/>
                <w:color w:val="000000"/>
                <w:sz w:val="21"/>
                <w:szCs w:val="21"/>
                <w:u w:val="none"/>
              </w:rPr>
            </w:pPr>
            <w:r>
              <w:rPr>
                <w:rStyle w:val="11"/>
                <w:rFonts w:hint="default" w:ascii="Times New Roman" w:hAnsi="Times New Roman" w:eastAsia="仿宋_GB2312" w:cs="Times New Roman"/>
                <w:sz w:val="21"/>
                <w:szCs w:val="21"/>
                <w:lang w:bidi="ar"/>
              </w:rPr>
              <w:t>1.对财政收入执收单位及其工作人员违反国家财政收入管理、上缴规定的检查</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2.对财政部门、国家机构及其工作人员违反国家有关上解、下拨财政资金规定的检查</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3.对企业和个人不缴或少缴财政收入行为的检查</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4.对单位和个人违反财政收入票据管理规定的检查</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5.对违反行政性收费管理规定的检查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Times New Roman" w:hAnsi="Times New Roman" w:eastAsia="仿宋_GB2312" w:cs="Times New Roman"/>
                <w:i w:val="0"/>
                <w:color w:val="000000"/>
                <w:sz w:val="21"/>
                <w:szCs w:val="21"/>
                <w:u w:val="none"/>
              </w:rPr>
            </w:pPr>
            <w:r>
              <w:rPr>
                <w:rStyle w:val="11"/>
                <w:rFonts w:hint="default" w:ascii="Times New Roman" w:hAnsi="Times New Roman" w:eastAsia="仿宋_GB2312" w:cs="Times New Roman"/>
                <w:sz w:val="21"/>
                <w:szCs w:val="21"/>
                <w:lang w:bidi="ar"/>
              </w:rPr>
              <w:t>上级指派</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资金监管要求</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群众举报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eastAsia="zh-CN"/>
              </w:rPr>
            </w:pPr>
            <w:r>
              <w:rPr>
                <w:rFonts w:hint="default" w:ascii="Times New Roman" w:hAnsi="Times New Roman" w:eastAsia="仿宋_GB2312" w:cs="Times New Roman"/>
                <w:i w:val="0"/>
                <w:color w:val="000000"/>
                <w:sz w:val="21"/>
                <w:szCs w:val="21"/>
                <w:u w:val="none"/>
                <w:lang w:eastAsia="zh-CN"/>
              </w:rPr>
              <w:t>财政局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Times New Roman" w:hAnsi="Times New Roman" w:eastAsia="仿宋_GB2312" w:cs="Times New Roman"/>
                <w:i w:val="0"/>
                <w:color w:val="000000"/>
                <w:sz w:val="21"/>
                <w:szCs w:val="21"/>
                <w:u w:val="none"/>
              </w:rPr>
            </w:pPr>
            <w:r>
              <w:rPr>
                <w:rStyle w:val="11"/>
                <w:rFonts w:hint="default" w:ascii="Times New Roman" w:hAnsi="Times New Roman" w:eastAsia="仿宋_GB2312" w:cs="Times New Roman"/>
                <w:sz w:val="21"/>
                <w:szCs w:val="21"/>
                <w:lang w:bidi="ar"/>
              </w:rPr>
              <w:t>3</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Times New Roman" w:hAnsi="Times New Roman" w:eastAsia="仿宋_GB2312" w:cs="Times New Roman"/>
                <w:i w:val="0"/>
                <w:color w:val="000000"/>
                <w:sz w:val="21"/>
                <w:szCs w:val="21"/>
                <w:u w:val="none"/>
              </w:rPr>
            </w:pPr>
            <w:r>
              <w:rPr>
                <w:rStyle w:val="11"/>
                <w:rFonts w:hint="default" w:ascii="Times New Roman" w:hAnsi="Times New Roman" w:eastAsia="仿宋_GB2312" w:cs="Times New Roman"/>
                <w:sz w:val="21"/>
                <w:szCs w:val="21"/>
                <w:lang w:bidi="ar"/>
              </w:rPr>
              <w:t>财政资金支出监督检查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Times New Roman" w:hAnsi="Times New Roman" w:eastAsia="仿宋_GB2312" w:cs="Times New Roman"/>
                <w:i w:val="0"/>
                <w:color w:val="000000"/>
                <w:sz w:val="21"/>
                <w:szCs w:val="21"/>
                <w:u w:val="none"/>
              </w:rPr>
            </w:pPr>
            <w:r>
              <w:rPr>
                <w:rStyle w:val="11"/>
                <w:rFonts w:hint="default" w:ascii="Times New Roman" w:hAnsi="Times New Roman" w:eastAsia="仿宋_GB2312" w:cs="Times New Roman"/>
                <w:sz w:val="21"/>
                <w:szCs w:val="21"/>
                <w:lang w:bidi="ar"/>
              </w:rPr>
              <w:t>《财政部门监督办法》（2012年财政部令第69号）</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《财政检查工作办法》（2006年财政部令第32号）</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《中华人民共和国行政处罚法》（1996年3月17日通过，2009年8月27日修订）</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《财政监督检查结果跟踪整改落实暂行办法》（2015年吉财监〔2015〕614号）</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《财政监督检查约谈制度》（2015吉财监〔2015〕617号）</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Times New Roman" w:hAnsi="Times New Roman" w:eastAsia="仿宋_GB2312" w:cs="Times New Roman"/>
                <w:i w:val="0"/>
                <w:color w:val="000000"/>
                <w:sz w:val="21"/>
                <w:szCs w:val="21"/>
                <w:u w:val="none"/>
              </w:rPr>
            </w:pPr>
            <w:r>
              <w:rPr>
                <w:rStyle w:val="11"/>
                <w:rFonts w:hint="default" w:ascii="Times New Roman" w:hAnsi="Times New Roman" w:eastAsia="仿宋_GB2312" w:cs="Times New Roman"/>
                <w:sz w:val="21"/>
                <w:szCs w:val="21"/>
                <w:lang w:bidi="ar"/>
              </w:rPr>
              <w:t>1.对国家机关及其工作人员违反规定使用、骗取财政资金行为的检查</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2.对单位和个人违反国家有关投资建设项目规定的检查</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3.对国家机关及其工作人员违反国家有关政府承贷或者担保的外国政府贷款、国际金融组织贷款规定的检查</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4.对企业和个人违反规定使用、骗取财政资金以及政府承贷或者担保的外国政府贷款、国际金融组织贷款的检查</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5.对财政专项资金不按规定使用的检查</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6.对财政预决算的编制部门和预算执行部门及其工作人员违反国家有关预算管理规定的检查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ascii="Times New Roman" w:hAnsi="Times New Roman" w:eastAsia="仿宋_GB2312" w:cs="Times New Roman"/>
                <w:i w:val="0"/>
                <w:color w:val="000000"/>
                <w:sz w:val="21"/>
                <w:szCs w:val="21"/>
                <w:u w:val="none"/>
              </w:rPr>
            </w:pPr>
            <w:r>
              <w:rPr>
                <w:rStyle w:val="11"/>
                <w:rFonts w:hint="default" w:ascii="Times New Roman" w:hAnsi="Times New Roman" w:eastAsia="仿宋_GB2312" w:cs="Times New Roman"/>
                <w:sz w:val="21"/>
                <w:szCs w:val="21"/>
                <w:lang w:bidi="ar"/>
              </w:rPr>
              <w:t>上级指派</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资金监管要求</w:t>
            </w:r>
            <w:r>
              <w:rPr>
                <w:rStyle w:val="11"/>
                <w:rFonts w:hint="default" w:ascii="Times New Roman" w:hAnsi="Times New Roman" w:eastAsia="仿宋_GB2312" w:cs="Times New Roman"/>
                <w:sz w:val="21"/>
                <w:szCs w:val="21"/>
                <w:lang w:bidi="ar"/>
              </w:rPr>
              <w:br w:type="textWrapping"/>
            </w:r>
            <w:r>
              <w:rPr>
                <w:rStyle w:val="11"/>
                <w:rFonts w:hint="default" w:ascii="Times New Roman" w:hAnsi="Times New Roman" w:eastAsia="仿宋_GB2312" w:cs="Times New Roman"/>
                <w:sz w:val="21"/>
                <w:szCs w:val="21"/>
                <w:lang w:bidi="ar"/>
              </w:rPr>
              <w:t>群众举报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559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住建局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房屋和市政基础设施工程质量和安全监督检查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1.《建设工程质量管理条例》（国务院令第</w:t>
            </w:r>
            <w:r>
              <w:rPr>
                <w:rStyle w:val="17"/>
                <w:rFonts w:hint="default" w:ascii="Times New Roman" w:hAnsi="Times New Roman" w:eastAsia="仿宋_GB2312" w:cs="Times New Roman"/>
                <w:sz w:val="21"/>
                <w:szCs w:val="21"/>
                <w:lang w:val="en-US" w:eastAsia="zh-CN" w:bidi="ar"/>
              </w:rPr>
              <w:t>293</w:t>
            </w:r>
            <w:r>
              <w:rPr>
                <w:rStyle w:val="18"/>
                <w:rFonts w:hint="default" w:ascii="Times New Roman" w:hAnsi="Times New Roman" w:eastAsia="仿宋_GB2312" w:cs="Times New Roman"/>
                <w:sz w:val="21"/>
                <w:szCs w:val="21"/>
                <w:lang w:val="en-US" w:eastAsia="zh-CN" w:bidi="ar"/>
              </w:rPr>
              <w:t>号）第四十七条；2.《房屋建筑和市政基础设施工程质量监督管理规定》（2010年住房和城乡建设部令第5号）第三条；3.《实施工程建设强制性标准监督规定》（2000年建设部令第81号）第四条、第六条、第九条；4.《建设工程质量检测管理办法》（2005年建设部令第141号）第三条、第二十一条；5.《建设工程安全管理条例》（国务院令第393号） 第四十条、第四十四条; 6.《生产安全事故报告和调查处理条例》（2007年国务院令第493号）第三十三条</w:t>
            </w:r>
            <w:r>
              <w:rPr>
                <w:rStyle w:val="18"/>
                <w:rFonts w:hint="eastAsia" w:ascii="Times New Roman" w:hAnsi="Times New Roman" w:eastAsia="仿宋_GB2312" w:cs="Times New Roman"/>
                <w:sz w:val="21"/>
                <w:szCs w:val="21"/>
                <w:lang w:val="en-US" w:eastAsia="zh-CN" w:bidi="ar"/>
              </w:rPr>
              <w:t>。</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 xml:space="preserve">1.对房屋建筑和市政基础设施工程质量的法律、法规和强制性标准执行情况的日常监督检查； </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 xml:space="preserve">2. 对房屋建筑和市政基础设施工程安全生产活动是否符合相关法律法规、技术规范和强制性标准的日常监督检查； </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3.全市房屋和市政基础设施工程质量安全大检查,以及工程检测、预拌砼专项检查。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在抽检单位名库中随机抽取</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38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住建局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建筑市场行为监督检查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1.《建筑法》</w:t>
            </w:r>
            <w:r>
              <w:rPr>
                <w:rStyle w:val="17"/>
                <w:rFonts w:hint="default" w:ascii="Times New Roman" w:hAnsi="Times New Roman" w:eastAsia="仿宋_GB2312" w:cs="Times New Roman"/>
                <w:sz w:val="21"/>
                <w:szCs w:val="21"/>
                <w:lang w:val="en-US" w:eastAsia="zh-CN" w:bidi="ar"/>
              </w:rPr>
              <w:t>2.</w:t>
            </w:r>
            <w:r>
              <w:rPr>
                <w:rStyle w:val="18"/>
                <w:rFonts w:hint="default" w:ascii="Times New Roman" w:hAnsi="Times New Roman" w:eastAsia="仿宋_GB2312" w:cs="Times New Roman"/>
                <w:sz w:val="21"/>
                <w:szCs w:val="21"/>
                <w:lang w:val="en-US" w:eastAsia="zh-CN" w:bidi="ar"/>
              </w:rPr>
              <w:t>《吉林省建筑市场管理条例》</w:t>
            </w:r>
            <w:r>
              <w:rPr>
                <w:rStyle w:val="17"/>
                <w:rFonts w:hint="default" w:ascii="Times New Roman" w:hAnsi="Times New Roman" w:eastAsia="仿宋_GB2312" w:cs="Times New Roman"/>
                <w:sz w:val="21"/>
                <w:szCs w:val="21"/>
                <w:lang w:val="en-US" w:eastAsia="zh-CN" w:bidi="ar"/>
              </w:rPr>
              <w:t>3.</w:t>
            </w:r>
            <w:r>
              <w:rPr>
                <w:rStyle w:val="18"/>
                <w:rFonts w:hint="default" w:ascii="Times New Roman" w:hAnsi="Times New Roman" w:eastAsia="仿宋_GB2312" w:cs="Times New Roman"/>
                <w:sz w:val="21"/>
                <w:szCs w:val="21"/>
                <w:lang w:val="en-US" w:eastAsia="zh-CN" w:bidi="ar"/>
              </w:rPr>
              <w:t>《建筑工程施工许可管理办法》</w:t>
            </w:r>
            <w:r>
              <w:rPr>
                <w:rStyle w:val="17"/>
                <w:rFonts w:hint="default" w:ascii="Times New Roman" w:hAnsi="Times New Roman" w:eastAsia="仿宋_GB2312" w:cs="Times New Roman"/>
                <w:sz w:val="21"/>
                <w:szCs w:val="21"/>
                <w:lang w:val="en-US" w:eastAsia="zh-CN" w:bidi="ar"/>
              </w:rPr>
              <w:t>4.</w:t>
            </w:r>
            <w:r>
              <w:rPr>
                <w:rStyle w:val="18"/>
                <w:rFonts w:hint="default" w:ascii="Times New Roman" w:hAnsi="Times New Roman" w:eastAsia="仿宋_GB2312" w:cs="Times New Roman"/>
                <w:sz w:val="21"/>
                <w:szCs w:val="21"/>
                <w:lang w:val="en-US" w:eastAsia="zh-CN" w:bidi="ar"/>
              </w:rPr>
              <w:t>《建设工程质量管理条例》（国务院令</w:t>
            </w:r>
            <w:r>
              <w:rPr>
                <w:rStyle w:val="17"/>
                <w:rFonts w:hint="default" w:ascii="Times New Roman" w:hAnsi="Times New Roman" w:eastAsia="仿宋_GB2312" w:cs="Times New Roman"/>
                <w:sz w:val="21"/>
                <w:szCs w:val="21"/>
                <w:lang w:val="en-US" w:eastAsia="zh-CN" w:bidi="ar"/>
              </w:rPr>
              <w:t>279</w:t>
            </w:r>
            <w:r>
              <w:rPr>
                <w:rStyle w:val="18"/>
                <w:rFonts w:hint="default" w:ascii="Times New Roman" w:hAnsi="Times New Roman" w:eastAsia="仿宋_GB2312" w:cs="Times New Roman"/>
                <w:sz w:val="21"/>
                <w:szCs w:val="21"/>
                <w:lang w:val="en-US" w:eastAsia="zh-CN" w:bidi="ar"/>
              </w:rPr>
              <w:t>号）第四十七条 。</w:t>
            </w:r>
            <w:r>
              <w:rPr>
                <w:rStyle w:val="17"/>
                <w:rFonts w:hint="default" w:ascii="Times New Roman" w:hAnsi="Times New Roman" w:eastAsia="仿宋_GB2312" w:cs="Times New Roman"/>
                <w:sz w:val="21"/>
                <w:szCs w:val="21"/>
                <w:lang w:val="en-US" w:eastAsia="zh-CN" w:bidi="ar"/>
              </w:rPr>
              <w:t>5.</w:t>
            </w:r>
            <w:r>
              <w:rPr>
                <w:rStyle w:val="18"/>
                <w:rFonts w:hint="default" w:ascii="Times New Roman" w:hAnsi="Times New Roman" w:eastAsia="仿宋_GB2312" w:cs="Times New Roman"/>
                <w:sz w:val="21"/>
                <w:szCs w:val="21"/>
                <w:lang w:val="en-US" w:eastAsia="zh-CN" w:bidi="ar"/>
              </w:rPr>
              <w:t xml:space="preserve">《招标投标法》第七条 </w:t>
            </w:r>
            <w:r>
              <w:rPr>
                <w:rStyle w:val="17"/>
                <w:rFonts w:hint="default" w:ascii="Times New Roman" w:hAnsi="Times New Roman" w:eastAsia="仿宋_GB2312" w:cs="Times New Roman"/>
                <w:sz w:val="21"/>
                <w:szCs w:val="21"/>
                <w:lang w:val="en-US" w:eastAsia="zh-CN" w:bidi="ar"/>
              </w:rPr>
              <w:t>6.</w:t>
            </w:r>
            <w:r>
              <w:rPr>
                <w:rStyle w:val="18"/>
                <w:rFonts w:hint="default" w:ascii="Times New Roman" w:hAnsi="Times New Roman" w:eastAsia="仿宋_GB2312" w:cs="Times New Roman"/>
                <w:sz w:val="21"/>
                <w:szCs w:val="21"/>
                <w:lang w:val="en-US" w:eastAsia="zh-CN" w:bidi="ar"/>
              </w:rPr>
              <w:t>《关于国务院有关部门实施招标投标活动行政监督的职责分工的意见》（国办发〔</w:t>
            </w:r>
            <w:r>
              <w:rPr>
                <w:rStyle w:val="17"/>
                <w:rFonts w:hint="default" w:ascii="Times New Roman" w:hAnsi="Times New Roman" w:eastAsia="仿宋_GB2312" w:cs="Times New Roman"/>
                <w:sz w:val="21"/>
                <w:szCs w:val="21"/>
                <w:lang w:val="en-US" w:eastAsia="zh-CN" w:bidi="ar"/>
              </w:rPr>
              <w:t>2000</w:t>
            </w:r>
            <w:r>
              <w:rPr>
                <w:rStyle w:val="18"/>
                <w:rFonts w:hint="default" w:ascii="Times New Roman" w:hAnsi="Times New Roman" w:eastAsia="仿宋_GB2312" w:cs="Times New Roman"/>
                <w:sz w:val="21"/>
                <w:szCs w:val="21"/>
                <w:lang w:val="en-US" w:eastAsia="zh-CN" w:bidi="ar"/>
              </w:rPr>
              <w:t>〕</w:t>
            </w:r>
            <w:r>
              <w:rPr>
                <w:rStyle w:val="17"/>
                <w:rFonts w:hint="default" w:ascii="Times New Roman" w:hAnsi="Times New Roman" w:eastAsia="仿宋_GB2312" w:cs="Times New Roman"/>
                <w:sz w:val="21"/>
                <w:szCs w:val="21"/>
                <w:lang w:val="en-US" w:eastAsia="zh-CN" w:bidi="ar"/>
              </w:rPr>
              <w:t>34</w:t>
            </w:r>
            <w:r>
              <w:rPr>
                <w:rStyle w:val="18"/>
                <w:rFonts w:hint="default" w:ascii="Times New Roman" w:hAnsi="Times New Roman" w:eastAsia="仿宋_GB2312" w:cs="Times New Roman"/>
                <w:sz w:val="21"/>
                <w:szCs w:val="21"/>
                <w:lang w:val="en-US" w:eastAsia="zh-CN" w:bidi="ar"/>
              </w:rPr>
              <w:t>号）。</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是否存在未取得施工许可证擅自施工，施工现场文明施工是否符合标准。是否存在肢解发包、违法招投标、转包、挂靠、违法分包等违反法定建筑市场管理秩序的行为。</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在抽检单位名库中随机抽取</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59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住建局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3</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房地产市场检查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1.《城市房地产管理法》；2.国务院《城市房地产开发经营管理条例》；3.《房地产开发企业资质管理规定》；4.《城市商品房预售管理办法》；5.《商品房销售管理办法》。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1.对房地产开发企业的商品房销售活动是否符合有关商品房销售法律法规规章规定及房地产政策要求进行监督检查。2.对房地产经纪机构及经纪人员的经纪活动是否符合有关房地产经纪法律法规规章规定及政策要求进行监督检查。3.对房地产估价机构及估价人员的估价活动是否符合有关房地产估价法律法规规章规定及政策要求进行监督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在抽检单位名库中随机抽取</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文广新局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娱乐场所</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《娱乐场所管理条例》、</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《娱乐场所管理办法》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 xml:space="preserve">负责对娱乐场所日常经营活动的监督管理。                              </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现场检查、督查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文广新局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互联网上网服务营业场所</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《互联网上网服务营业场所管理条例》</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负责对依法设立的互联网上网服务营业场所经营单位经营活动的监督管理。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现场检查、督查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文广新局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3</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互联网文化单位</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《互联网文化管理暂行规定》</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负责对依法设立的互联网上网服务营业场所经营单位经营活动的监督管理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现场检查、督查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文广新局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4</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网络游戏</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《网络游戏管理暂行办法》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 xml:space="preserve"> 依照职责分工负责本行政区域内网络游戏的监督管理。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现场检查、督查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文广新局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5</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文物</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《中华人民共和国文物保护法》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eastAsia" w:ascii="Times New Roman" w:hAnsi="Times New Roman" w:eastAsia="仿宋_GB2312" w:cs="Times New Roman"/>
                <w:i w:val="0"/>
                <w:color w:val="000000"/>
                <w:kern w:val="0"/>
                <w:sz w:val="21"/>
                <w:szCs w:val="21"/>
                <w:u w:val="none"/>
                <w:lang w:val="en-US" w:eastAsia="zh-CN" w:bidi="ar"/>
              </w:rPr>
              <w:t>按照职责分工</w:t>
            </w:r>
            <w:r>
              <w:rPr>
                <w:rFonts w:hint="default" w:ascii="Times New Roman" w:hAnsi="Times New Roman" w:eastAsia="仿宋_GB2312" w:cs="Times New Roman"/>
                <w:i w:val="0"/>
                <w:color w:val="000000"/>
                <w:kern w:val="0"/>
                <w:sz w:val="21"/>
                <w:szCs w:val="21"/>
                <w:u w:val="none"/>
                <w:lang w:val="en-US" w:eastAsia="zh-CN" w:bidi="ar"/>
              </w:rPr>
              <w:t>对本行政区域内的文物保护实施监督管理。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现场检查、督查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文广新局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6</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出版</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《出版管理条例》</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eastAsia" w:ascii="Times New Roman" w:hAnsi="Times New Roman" w:eastAsia="仿宋_GB2312" w:cs="Times New Roman"/>
                <w:i w:val="0"/>
                <w:color w:val="000000"/>
                <w:kern w:val="0"/>
                <w:sz w:val="21"/>
                <w:szCs w:val="21"/>
                <w:u w:val="none"/>
                <w:lang w:val="en-US" w:eastAsia="zh-CN" w:bidi="ar"/>
              </w:rPr>
              <w:t>按照职责分工</w:t>
            </w:r>
            <w:r>
              <w:rPr>
                <w:rFonts w:hint="default" w:ascii="Times New Roman" w:hAnsi="Times New Roman" w:eastAsia="仿宋_GB2312" w:cs="Times New Roman"/>
                <w:i w:val="0"/>
                <w:color w:val="000000"/>
                <w:kern w:val="0"/>
                <w:sz w:val="21"/>
                <w:szCs w:val="21"/>
                <w:u w:val="none"/>
                <w:lang w:val="en-US" w:eastAsia="zh-CN" w:bidi="ar"/>
              </w:rPr>
              <w:t>负责本行政区域内出版活动的监督管理工作。</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现场检查、督查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文广新局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7</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印刷</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《印刷业管理条例》</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 xml:space="preserve"> </w:t>
            </w:r>
            <w:r>
              <w:rPr>
                <w:rFonts w:hint="eastAsia" w:ascii="Times New Roman" w:hAnsi="Times New Roman" w:eastAsia="仿宋_GB2312" w:cs="Times New Roman"/>
                <w:i w:val="0"/>
                <w:color w:val="000000"/>
                <w:kern w:val="0"/>
                <w:sz w:val="21"/>
                <w:szCs w:val="21"/>
                <w:u w:val="none"/>
                <w:lang w:val="en-US" w:eastAsia="zh-CN" w:bidi="ar"/>
              </w:rPr>
              <w:t>按照职责分工</w:t>
            </w:r>
            <w:r>
              <w:rPr>
                <w:rFonts w:hint="default" w:ascii="Times New Roman" w:hAnsi="Times New Roman" w:eastAsia="仿宋_GB2312" w:cs="Times New Roman"/>
                <w:i w:val="0"/>
                <w:color w:val="000000"/>
                <w:kern w:val="0"/>
                <w:sz w:val="21"/>
                <w:szCs w:val="21"/>
                <w:u w:val="none"/>
                <w:lang w:val="en-US" w:eastAsia="zh-CN" w:bidi="ar"/>
              </w:rPr>
              <w:t>负责本行政区域内的印刷业监督管理工作。</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现场检查、督查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文广新局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8</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电影</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《电影管理条例》</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eastAsia" w:ascii="Times New Roman" w:hAnsi="Times New Roman" w:eastAsia="仿宋_GB2312" w:cs="Times New Roman"/>
                <w:i w:val="0"/>
                <w:color w:val="000000"/>
                <w:kern w:val="0"/>
                <w:sz w:val="21"/>
                <w:szCs w:val="21"/>
                <w:u w:val="none"/>
                <w:lang w:val="en-US" w:eastAsia="zh-CN" w:bidi="ar"/>
              </w:rPr>
              <w:t>按照职责分工</w:t>
            </w:r>
            <w:r>
              <w:rPr>
                <w:rFonts w:hint="default" w:ascii="Times New Roman" w:hAnsi="Times New Roman" w:eastAsia="仿宋_GB2312" w:cs="Times New Roman"/>
                <w:i w:val="0"/>
                <w:color w:val="000000"/>
                <w:kern w:val="0"/>
                <w:sz w:val="21"/>
                <w:szCs w:val="21"/>
                <w:u w:val="none"/>
                <w:lang w:val="en-US" w:eastAsia="zh-CN" w:bidi="ar"/>
              </w:rPr>
              <w:t>依照本条例的规定负责本行政区域内的电影管理工作。</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现场检查、督查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国土局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对矿产资源勘查、开采的监督检查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《吉林省矿产资源开发利用保护条例》第六条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矿产资源勘查、开采情况</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采取定期和不定期相结合的方式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农业局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种子监督检查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《种子法》第三条第一款、第五十条第一款</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对农作物种子生产、经营者的监督检查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定期抽查和不定期抽查结合的方式</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物价局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对县域内价格行为进行监督检查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《中华人民共和国价格法》、《价格违法行为行政处罚决定》、《吉林省收费罚款没收财务管理条例》、《关于商品和服务实行明码标价的规定》</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不正当价格行为；不按规定明码标价；不执行政府定价、政府指导价行为；不执行政府法定干预措施、紧急措施行为</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随机抽查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盐务局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对代销食盐许可证的监督检查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《食盐专营办法》第十条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对全市范围内代销食盐许可证的登记、变更、注销等进行监督检查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盐务局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对擅自购进食盐行为的监督检查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〈食盐专营办法〉第十四条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对全市范围内的个体工商户，代购代销店以及食品加工用盐单位擅自购进食盐行为进行监督检查。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盐务局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对无食盐批发许可证经营食盐批发业务行为的监督检查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《食盐专营办法》第十条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对全市范围内的企业、单位和个人无食盐批发许可证经营食盐批发业务行为的监督检查。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盐务局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对擅自销售非碘盐和不合格碘盐行为的监督检查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《食盐加碘消除碘缺乏危害管理条例》第十六条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对全市范围内的个体工商户，代购代销店以及食品加工用盐单位擅自在食用盐市场上销售非碘盐和人合格碘行为的监督检查。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8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国税局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重点税源企业随机抽查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国务院办公厅关于推广随机抽查规范事中事后监管的通知》（国办发〔2015〕58号）、《推进税务稽查随机抽查实施方案》（税总发〔2015〕104号）、《2016年全国税务稽查工作要点》、《吉林省国家税务局关于开展2016年重点税源企业随机抽查工作的通知》吉国税函〔2016〕35号</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企业涉税问题</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按照税务总局“双随机”的要求，随机选取稽查案源，随机选派稽查执法人员承担检查任务。</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51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国税局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出口退税企业随机抽查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《吉林省国家税务局 吉林省公安厅 长春海关关于联合开展2016年打击骗取出口退（免）税违法犯罪专项行动的通知》（吉国税联字[2016]21号）、《吉林省国家税务局 吉林省公安厅 长春海关 中国人民银行长春中心支行关于打击骗取出口退税和虚开增值税专用票据工作的通知》（吉国税联字[2016]26号）</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企业涉税问题</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通过“双随机”选案系统，摇号的方式随机确定稽查对象以及稽查执法人员，实施打击骗取出口退税检查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3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烟草局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对烟草专卖零售许可证的监督检查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《中华人民共和国烟草专卖法》第十六条、《中华人民共和国烟草专卖法实施条例》第十条、《烟草专卖许可证管理办法》（国家发展和改革委员会第51号令 2007.02.05）第三条、《烟草专卖许可证管理办法》第七条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对全市范围内烟草专卖许可证的登记、变更、注销等进行监督检查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烟草局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对擅自收购烟叶的行为的监督检查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《中华人民共和国烟草专卖法》第二十八条、《中华人民共和国烟草专卖法实施条例》第五十一条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对全市范围内除烟草公司或者烟草公司委托以外的单位和个人擅自收购烟叶的，和其它违法收购烟叶行为进行监督检查。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烟草局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对无烟草专卖品准运证运输烟草专卖品行为的监督检查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《中华人民共和国烟草专卖法》第二十九条、《中华人民共和国烟草专卖法实施条例》第五十二条、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对全市范围内无烟草专卖品准运证又无法提供在当地购买烟草专卖品的有效证明的和无烟草专卖品准运证运输烟草专卖品的其他违法行为进行监督检查。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烟草局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对未在当地烟草专卖批发企业进货行为的监督检查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《中华人民共和国烟草专卖法实施条例》第二十三条第二款、《中华人民共和国烟草专卖法实施条例》第五十六条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对全市范围内取得烟草专卖零售许可证的企业或者个人，应当在当地的烟草专卖批发企业进货，却未在当地烟草专卖批发企业进货等违法行为进行监督检查。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烟草局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对销售无标识外国卷烟行为的监督检查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《烟草专卖法实施条例》第二十七条、《关于严厉打击卷烟走私整顿卷烟市场通告》第二条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对全市范围内销售的进口的卷烟在箱包、条包和盒包上无印有“由中国烟草总公司专卖”字样等违法行为的监督检查。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烟草局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对销售非法生产的烟草制品的监督检查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《中华人民共和国烟草专卖法实施条例》第二十五条、《中华人民共和国烟草专卖法实施条例》第三十八条第一款</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对全市范围内销售的假冒卷烟、计划内卷烟厂超计划生产的卷烟、非法烟厂生产的卷烟（未取得烟草专卖生产企业许可证的企业生产的卷烟）、无注册商标卷烟等违法行为的监督检查。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畜牧局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兽药经营单位监督抽查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《兽药管理条例》</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产品质量抽检及违法案件查处</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季度抽查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畜牧局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饲料质量安全监管</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《饲料和饲料添加剂管理条例》</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第三条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对本行政区域饲料、饲料添加剂生产、经营、使用过程中执行有关饲料法律法规情况进行监督检查。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定期抽查和不定期抽查相结合</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畜牧局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3</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 xml:space="preserve">买卖、非法转让草原 </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 xml:space="preserve">《中华人民共和国草原法》 </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对买卖或者以其他形式非法转让草原，尚不够刑事处罚的处罚。</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现场检查、随机检查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畜牧局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4</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未经批准、非法使用草原</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 xml:space="preserve">《中华人民共和国草原法》 </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 xml:space="preserve">对未经批准或者采取欺骗手段骗取批准，非法使用草原，尚不够刑事处罚的处罚。  </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现场检查、随机检查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畜牧局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5</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非法开垦草原</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 xml:space="preserve">《中华人民共和国草原法》 </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对非法开垦草原，尚不够刑事处罚的处罚</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现场检查、随机检查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畜牧局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6</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草原上的生产经营等单位未建立或者未落实草原防火责任制的</w:t>
            </w:r>
            <w:r>
              <w:rPr>
                <w:rFonts w:hint="eastAsia" w:ascii="Times New Roman" w:hAnsi="Times New Roman" w:eastAsia="仿宋_GB2312" w:cs="Times New Roman"/>
                <w:i w:val="0"/>
                <w:color w:val="000000"/>
                <w:kern w:val="0"/>
                <w:sz w:val="21"/>
                <w:szCs w:val="21"/>
                <w:u w:val="none"/>
                <w:lang w:val="en-US" w:eastAsia="zh-CN" w:bidi="ar"/>
              </w:rPr>
              <w:t>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《草原防火条例》（国务院令第542号。</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对草原上的生产经营等单位未建立或者未落实草原防火责任制的处罚</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现场检查、随机检查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畜牧局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7</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种畜禽销售、推广及种畜禽经营许可证管理</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《中华人民共和国畜牧法》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1、是否销售、推广未经审定或者鉴定的畜禽品种</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2、是否存在无种畜禽生产经营许可证或者违反种畜禽生产经营许可证的规定生产经营种畜禽或转让、租借种畜禽生产经营许可证</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 xml:space="preserve">3、是否以其他畜禽品种、配套系冒充所销售的种畜禽品种、配套系；是否以低代别种畜禽冒充高代别种畜禽；是否用不符合种用标准的畜禽冒充种畜禽；是否销售未经批准进口的种畜禽 </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4、检查销售的种畜禽是否附具种畜禽合格证明、检疫合格证明、家畜系谱；检查是否重复使用畜禽标识的或使用伪造、变造的畜禽标识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现场检查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畜牧局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8</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畜禽养殖场的档案管理</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《中华人民共和国畜牧法》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检查畜禽养殖场养殖档案，是否未按照规定保存养殖档案</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现场检查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畜牧局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9</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通过无公害畜产品认证企业的管理</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《中华人民共和国农产品质量安全法》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1、检查是否有伪造、冒用、转让、买卖无公害农产品产地认定证书、产品认证证书和标志</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2、检查获得无公害农产品认证并加贴标志的产品，是否存在不符合无公害农产品质量标准要求</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3、检查农产品生产企业、农民专业合作经济组织是否建立或者未按照规定保存农产品生产记录的，或者伪造农产品生产记录</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4、检查农产品是否农药、兽药等化学物质残留或者含有的重金属等有毒有害物质不符合农产品质量安全标准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随机抽查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畜牧局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sz w:val="21"/>
                <w:szCs w:val="21"/>
                <w:u w:val="none"/>
                <w:lang w:val="en-US" w:eastAsia="zh-CN"/>
              </w:rPr>
              <w:t>10</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生鲜乳收购站的管理</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《乳品质量安全监督管理条例》</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1、检查生鲜乳收购者、乳制品生产企业在生鲜乳收购、乳制品生产过程中，是否加入非食品用化学物质或者其他可能危害人体健康的物质</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2、检查是否存在不再符合生鲜乳收购许可条件继续从事生鲜乳收购的、收购依法禁止收购的生鲜乳</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r>
              <w:rPr>
                <w:rFonts w:hint="default" w:ascii="Times New Roman" w:hAnsi="Times New Roman" w:eastAsia="仿宋_GB2312" w:cs="Times New Roman"/>
                <w:i w:val="0"/>
                <w:color w:val="000000"/>
                <w:kern w:val="0"/>
                <w:sz w:val="21"/>
                <w:szCs w:val="21"/>
                <w:u w:val="none"/>
                <w:lang w:val="en-US" w:eastAsia="zh-CN" w:bidi="ar"/>
              </w:rPr>
              <w:t>随机抽查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地税局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发票大检查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i w:val="0"/>
                <w:color w:val="000000"/>
                <w:kern w:val="0"/>
                <w:sz w:val="21"/>
                <w:szCs w:val="21"/>
                <w:u w:val="none"/>
                <w:lang w:val="en-US" w:eastAsia="zh-CN" w:bidi="ar"/>
              </w:rPr>
            </w:pPr>
            <w:r>
              <w:rPr>
                <w:rFonts w:hint="default" w:ascii="Times New Roman" w:hAnsi="Times New Roman" w:eastAsia="仿宋_GB2312" w:cs="Times New Roman"/>
                <w:i w:val="0"/>
                <w:color w:val="000000"/>
                <w:kern w:val="0"/>
                <w:sz w:val="21"/>
                <w:szCs w:val="21"/>
                <w:u w:val="none"/>
                <w:lang w:val="en-US" w:eastAsia="zh-CN" w:bidi="ar"/>
              </w:rPr>
              <w:t>《中华人民共和国税收征收管理法》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地税发票使用情况</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随机抽查与举报检查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地税局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稽查专项检查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《中华人民共和国税收征收管理法》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按省地税局专项检查安排部署</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逐一入户检查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2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运管所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大安市道路旅客运输经营企业</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《中华人民共和国道路运输条例》（2004年4月30日中华人民共和国国务院令406号公布根据2012年11月9日《国务院关于修改和废止部分行政法规的决定》修订国务院令第628号）</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1、企业各项制度操作规程制定情况是否符合许可条件。2、企业聘用的驾驶人员是否符合许可条件。3、企业经营行为。</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现场抽查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3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运管所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大安市机动车驾驶员培训机构企业</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《中华人民共和国道路运输条例》（2004年4月30日中华人民共和国国务院令406号公布根据2012年11月9日《国务院关于修改和废止划分行政法规的决定》修订国务院令第628号）</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企业各项安全管理制度是否健全并层层落实，制度是否装订成册并上墙。2、是否按制度规定召开安全生产例会和安全生产会议，会议记录是否真实齐全。3、是否按规定配足有效的安全设施设备。4、是否成立安全生产管理机构配备专职安全生产管理人员。5、是否取得相应的从业资格证并持证上岗。6、是否有齐全有效的安全生产设备设施（如灭火器、副后视镜等）。7、企业经营行为。</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现场抽查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运管所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大安市城市公共汽电车客运企业</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《吉林省城市公共客运管理条例》</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是否依法注册了企业法人。2、运营资金运营车辆场站设施是否符合许可要求。3、管理人员从业人员是否符合许可要求。4、经营方案是否合理可行。5、客运服务、安全管理等运营管理制度是否符合许可条件。6、企业经营行为。</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现场抽查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运管所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市区出租汽车客运经营者</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《吉林省城市公共客运管理条例》</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有符合规定的车辆。2、拟聘用的驾驶员。3、只能申请一个运营许可。4、男性年龄在60周岁以下、女性年龄在55周岁以下。5、有本地常住户口或居住证。6、取得相应的机动车驾驶证一年以上。7、取得从业资格证和服务监督卡。8、经营者经营行为。</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现场抽查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5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运管所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大安市从业危险货物运输企业</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《中华人民共和国道路运输条例》（2004年4月30日中华人民共和国国务院令406号公布根据2012年11月9日《国务院关于修改和废止划分行政法规的决定》修订国务院令第628号）</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有经检测合格的危险货物运输专用车辆设备。2、有经所在地的市级人民政府交通主管部门考试合格取得上岗资格证的驾驶人员、装卸管理人员、押运人员。3、危险货物运输专用车辆配有必要的通讯工具。4、有健全的安全生产管理制度。5、企业经营行为。</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现场抽查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67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交通局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在建公路工程项目年度检查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《公路建设市场管理办法》、《公路工程质量监督办法》、《国务院安全生产管理条例》</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建设行为、工程质量、施工安全</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不定期现场抽查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交通局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水路运输市场监督</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《国内水路运输管理规定》（国务院第625号）</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1、国家有关水路运输的方针政策。法律法规和规章的贯彻落实情况。 2、依法查处其他涉及水路运输的违法违规行为。</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现场检查，定期抽查与不定期抽查相结合。</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审计局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部门预算执行审计</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中华人民共和国审计法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预算执行情况</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定性抽查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审计局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部门决算审计</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中华人民共和国审计法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预算执行及决算情况</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定性抽查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审计局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企业资产负债审计</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中华人民共和国审计法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经营收入及成本核算情况</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定性抽查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审计局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事业单位财务收支审计</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中华人民共和国审计法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预算执行情况</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定性抽查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审计局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政府投资项目审计</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中华人民共和国审计法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项目建设及投资完成情况</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定性抽查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审计局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党政主要领导干部和国有企业领导人员经济责任审计</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中华人民共和国审计法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党政主要领导干部和国有企业领导人员履行经济责任情况</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定性抽查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林业局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全市木材经营加工厂点下放的木材经营加工、运输许可事项监督检查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《中华人民共和国森林法》和《中华人民共和国森林法实施条例》、《行政许可法》第六十一条，行政机关应当建立健全监督制度，履行监督责任。</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相关行政许可检查情况，是否存在违反有关法律法规行为，木材经营加工厂点证照是否健全，木材来源是否合法，是否建立购销台帐等。</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随机抽查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2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林业局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《中华人民共和国野生动物保护法》和《中华人民共和国陆生野生动物保护实施条例》实施情况检查，野生动物经营利用检查监管</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《中华人民共和国陆生野生动物保护实施条例》第五条和第二十八条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《中华人民共和国野生动物保护法》和《中华人民共和国陆生野生动物保护实施条例》实施情况检查，野生动物经营利用检查监管</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随机抽查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林业局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是否守法经营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森林法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木材进、出货台帐</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随机</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林业局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经营野生动物情况</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野生动物保护法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是否非法经营野生保护动物</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随机</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林业局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经营野生植物情况</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野生植物保护法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是否非法经营野生保护植物</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随机</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林业局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木材加工及原木</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吉林省森林植物检疫条例</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木材加工及原木</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不定期</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残联</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保障残疾人</w:t>
            </w:r>
            <w:r>
              <w:rPr>
                <w:rFonts w:hint="eastAsia" w:ascii="Times New Roman" w:hAnsi="Times New Roman" w:eastAsia="仿宋_GB2312" w:cs="Times New Roman"/>
                <w:i w:val="0"/>
                <w:color w:val="000000"/>
                <w:kern w:val="0"/>
                <w:sz w:val="21"/>
                <w:szCs w:val="21"/>
                <w:u w:val="none"/>
                <w:lang w:val="en-US" w:eastAsia="zh-CN" w:bidi="ar"/>
              </w:rPr>
              <w:t>合法</w:t>
            </w:r>
            <w:r>
              <w:rPr>
                <w:rFonts w:hint="default" w:ascii="Times New Roman" w:hAnsi="Times New Roman" w:eastAsia="仿宋_GB2312" w:cs="Times New Roman"/>
                <w:i w:val="0"/>
                <w:color w:val="000000"/>
                <w:kern w:val="0"/>
                <w:sz w:val="21"/>
                <w:szCs w:val="21"/>
                <w:u w:val="none"/>
                <w:lang w:val="en-US" w:eastAsia="zh-CN" w:bidi="ar"/>
              </w:rPr>
              <w:t>权益</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eastAsia" w:ascii="Times New Roman" w:hAnsi="Times New Roman" w:eastAsia="仿宋_GB2312" w:cs="Times New Roman"/>
                <w:i w:val="0"/>
                <w:color w:val="000000"/>
                <w:kern w:val="0"/>
                <w:sz w:val="21"/>
                <w:szCs w:val="21"/>
                <w:u w:val="none"/>
                <w:lang w:val="en-US" w:eastAsia="zh-CN" w:bidi="ar"/>
              </w:rPr>
              <w:t>《</w:t>
            </w:r>
            <w:r>
              <w:rPr>
                <w:rFonts w:hint="default" w:ascii="Times New Roman" w:hAnsi="Times New Roman" w:eastAsia="仿宋_GB2312" w:cs="Times New Roman"/>
                <w:i w:val="0"/>
                <w:color w:val="000000"/>
                <w:kern w:val="0"/>
                <w:sz w:val="21"/>
                <w:szCs w:val="21"/>
                <w:u w:val="none"/>
                <w:lang w:val="en-US" w:eastAsia="zh-CN" w:bidi="ar"/>
              </w:rPr>
              <w:t>残疾人保障法</w:t>
            </w:r>
            <w:r>
              <w:rPr>
                <w:rFonts w:hint="eastAsia" w:ascii="Times New Roman" w:hAnsi="Times New Roman" w:eastAsia="仿宋_GB2312" w:cs="Times New Roman"/>
                <w:i w:val="0"/>
                <w:color w:val="000000"/>
                <w:kern w:val="0"/>
                <w:sz w:val="21"/>
                <w:szCs w:val="21"/>
                <w:u w:val="none"/>
                <w:lang w:val="en-US" w:eastAsia="zh-CN" w:bidi="ar"/>
              </w:rPr>
              <w:t>》</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对残疾人政策落</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实是否到位</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随机</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人社局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企业内部劳动规章</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制度制定</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《劳动保障监察条例》第十一条第一项</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制定内部规章制度程序</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内容是否合法</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实地检查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人社局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劳动合同订立、解除</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《劳动保障监察条例》第十一条第二项</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是否订立书面</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劳动合同</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实地检查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人社局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禁止使用童工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《劳动保障监察条例》第十一条第三项</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是否使用未满16周岁</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未成年人</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实地检查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人社局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女职工和未成年工</w:t>
            </w:r>
            <w:r>
              <w:rPr>
                <w:rFonts w:hint="default" w:ascii="Times New Roman" w:hAnsi="Times New Roman" w:eastAsia="仿宋_GB2312" w:cs="Times New Roman"/>
                <w:i w:val="0"/>
                <w:color w:val="000000"/>
                <w:kern w:val="0"/>
                <w:sz w:val="21"/>
                <w:szCs w:val="21"/>
                <w:u w:val="none"/>
                <w:lang w:val="en-US" w:eastAsia="zh-CN" w:bidi="ar"/>
              </w:rPr>
              <w:br w:type="textWrapping"/>
            </w:r>
            <w:r>
              <w:rPr>
                <w:rFonts w:hint="default" w:ascii="Times New Roman" w:hAnsi="Times New Roman" w:eastAsia="仿宋_GB2312" w:cs="Times New Roman"/>
                <w:i w:val="0"/>
                <w:color w:val="000000"/>
                <w:kern w:val="0"/>
                <w:sz w:val="21"/>
                <w:szCs w:val="21"/>
                <w:u w:val="none"/>
                <w:lang w:val="en-US" w:eastAsia="zh-CN" w:bidi="ar"/>
              </w:rPr>
              <w:t>特殊保护</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《劳动保障监察条例》第十一条第四项</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是否安排女职工和未成年工从事国家规定的禁忌劳动；是否对未成年工进行健康检查</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实地检查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人社局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5</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工作时间和休息休假</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《劳动保障监察条例》第十一条第五项</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是否超时加班加点；是否强迫加班加点；是否依法安排劳动者休假；</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实地检查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人社局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6</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支付工资和执行最低工资标准</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《劳动保障监察条例》第十一条第六项</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是否克扣和无故拖欠工资；是否支付加班加点工资；是否遵守最低工资标准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实地检查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人社局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7</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参加社会保险</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《劳动保障监察条例》第十一条第七项</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是否办理社会保险登记；是否缴纳社会保险费</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实地检查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人社局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8</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职业中介</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《劳动保障监察条例》第十一条第八项</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是否提供虚假信息；是否违法乱收费</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实地检查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人社局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9</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录用和招聘职工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《劳动合同法》第七条、第九条      《就业促进法》第二十七条</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是否收取风险抵押金；是否扣押身份证；是否建立职工名册备查；是否就业歧视</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实地检查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水利局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1</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水资源费征收监督管理</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《取水许可和水资源费征收管理条例》</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水资源费的征缴情况</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现场检查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水利局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2</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取水计量设施安装及运行监督检查</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《取水许可和水资源费征收管理条例》</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取水计划、计量的落实情况</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现场检查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水利局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3</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缴纳水资源费</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w:t>
            </w:r>
            <w:r>
              <w:rPr>
                <w:rFonts w:hint="eastAsia" w:ascii="Times New Roman" w:hAnsi="Times New Roman" w:eastAsia="仿宋_GB2312" w:cs="Times New Roman"/>
                <w:i w:val="0"/>
                <w:color w:val="000000"/>
                <w:kern w:val="0"/>
                <w:sz w:val="21"/>
                <w:szCs w:val="21"/>
                <w:u w:val="none"/>
                <w:lang w:val="en-US" w:eastAsia="zh-CN" w:bidi="ar"/>
              </w:rPr>
              <w:t>华</w:t>
            </w:r>
            <w:bookmarkStart w:id="0" w:name="_GoBack"/>
            <w:bookmarkEnd w:id="0"/>
            <w:r>
              <w:rPr>
                <w:rFonts w:hint="default" w:ascii="Times New Roman" w:hAnsi="Times New Roman" w:eastAsia="仿宋_GB2312" w:cs="Times New Roman"/>
                <w:i w:val="0"/>
                <w:color w:val="000000"/>
                <w:kern w:val="0"/>
                <w:sz w:val="21"/>
                <w:szCs w:val="21"/>
                <w:u w:val="none"/>
                <w:lang w:val="en-US" w:eastAsia="zh-CN" w:bidi="ar"/>
              </w:rPr>
              <w:t>人民共和国水法》《吉林省取水管理办法》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是否缴纳水资源费</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随机抽查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水利局</w:t>
            </w:r>
          </w:p>
        </w:tc>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4</w:t>
            </w:r>
          </w:p>
        </w:tc>
        <w:tc>
          <w:tcPr>
            <w:tcW w:w="21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缴纳水土保持补偿费</w:t>
            </w:r>
          </w:p>
        </w:tc>
        <w:tc>
          <w:tcPr>
            <w:tcW w:w="29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《中华人民共和国水土保持法》</w:t>
            </w:r>
          </w:p>
        </w:tc>
        <w:tc>
          <w:tcPr>
            <w:tcW w:w="63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是否缴纳水土保持补偿费</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i w:val="0"/>
                <w:color w:val="000000"/>
                <w:sz w:val="21"/>
                <w:szCs w:val="21"/>
                <w:u w:val="none"/>
              </w:rPr>
            </w:pPr>
            <w:r>
              <w:rPr>
                <w:rFonts w:hint="default" w:ascii="Times New Roman" w:hAnsi="Times New Roman" w:eastAsia="仿宋_GB2312" w:cs="Times New Roman"/>
                <w:i w:val="0"/>
                <w:color w:val="000000"/>
                <w:kern w:val="0"/>
                <w:sz w:val="21"/>
                <w:szCs w:val="21"/>
                <w:u w:val="none"/>
                <w:lang w:val="en-US" w:eastAsia="zh-CN" w:bidi="ar"/>
              </w:rPr>
              <w:t>随机抽查</w:t>
            </w:r>
          </w:p>
        </w:tc>
        <w:tc>
          <w:tcPr>
            <w:tcW w:w="82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i w:val="0"/>
                <w:color w:val="000000"/>
                <w:sz w:val="21"/>
                <w:szCs w:val="21"/>
                <w:u w:val="none"/>
              </w:rPr>
            </w:pPr>
          </w:p>
        </w:tc>
      </w:tr>
    </w:tbl>
    <w:p>
      <w:pPr>
        <w:rPr>
          <w:rFonts w:hint="default" w:ascii="Times New Roman" w:hAnsi="Times New Roman" w:eastAsia="仿宋_GB2312" w:cs="Times New Roman"/>
          <w:sz w:val="21"/>
          <w:szCs w:val="21"/>
        </w:rPr>
      </w:pPr>
    </w:p>
    <w:sectPr>
      <w:headerReference r:id="rId3" w:type="default"/>
      <w:footerReference r:id="rId4" w:type="default"/>
      <w:pgSz w:w="16838" w:h="11906" w:orient="landscape"/>
      <w:pgMar w:top="669" w:right="873" w:bottom="669" w:left="873" w:header="851" w:footer="992" w:gutter="0"/>
      <w:pgBorders w:offsetFrom="page">
        <w:top w:val="none" w:sz="0" w:space="0"/>
        <w:left w:val="none" w:sz="0" w:space="0"/>
        <w:bottom w:val="none" w:sz="0" w:space="0"/>
        <w:right w:val="none" w:sz="0" w:space="0"/>
      </w:pgBorders>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Palatino Linotype">
    <w:panose1 w:val="02040502050505030304"/>
    <w:charset w:val="00"/>
    <w:family w:val="auto"/>
    <w:pitch w:val="default"/>
    <w:sig w:usb0="E0000287" w:usb1="40000013" w:usb2="00000000" w:usb3="00000000" w:csb0="2000019F" w:csb1="00000000"/>
  </w:font>
  <w:font w:name="Lucida Sans">
    <w:panose1 w:val="020B0602030504020204"/>
    <w:charset w:val="00"/>
    <w:family w:val="auto"/>
    <w:pitch w:val="default"/>
    <w:sig w:usb0="00000003" w:usb1="00000000" w:usb2="00000000" w:usb3="00000000" w:csb0="20000001" w:csb1="00000000"/>
  </w:font>
  <w:font w:name="文星标宋">
    <w:altName w:val="Arial Unicode MS"/>
    <w:panose1 w:val="02010604000101010101"/>
    <w:charset w:val="86"/>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87688E"/>
    <w:rsid w:val="056A6870"/>
    <w:rsid w:val="05D639A0"/>
    <w:rsid w:val="0D173089"/>
    <w:rsid w:val="0DCF2837"/>
    <w:rsid w:val="0DE446B8"/>
    <w:rsid w:val="0FB748D6"/>
    <w:rsid w:val="0FF90BC3"/>
    <w:rsid w:val="11755B31"/>
    <w:rsid w:val="150160F9"/>
    <w:rsid w:val="15D241DC"/>
    <w:rsid w:val="19AF5431"/>
    <w:rsid w:val="1B80312D"/>
    <w:rsid w:val="1BB81089"/>
    <w:rsid w:val="1F5C4703"/>
    <w:rsid w:val="20510A56"/>
    <w:rsid w:val="249E2CA0"/>
    <w:rsid w:val="293D5638"/>
    <w:rsid w:val="29EF4ED4"/>
    <w:rsid w:val="2D5A7676"/>
    <w:rsid w:val="36574FA9"/>
    <w:rsid w:val="3A800389"/>
    <w:rsid w:val="3D417B8C"/>
    <w:rsid w:val="426D1D88"/>
    <w:rsid w:val="42B07FE6"/>
    <w:rsid w:val="489D5DB0"/>
    <w:rsid w:val="4ED9366C"/>
    <w:rsid w:val="4F541729"/>
    <w:rsid w:val="53376114"/>
    <w:rsid w:val="53840791"/>
    <w:rsid w:val="558C0B67"/>
    <w:rsid w:val="55F8151B"/>
    <w:rsid w:val="58AF298D"/>
    <w:rsid w:val="5C6B5C2C"/>
    <w:rsid w:val="5FB9411A"/>
    <w:rsid w:val="622F4B23"/>
    <w:rsid w:val="6387688E"/>
    <w:rsid w:val="6AAA4E8C"/>
    <w:rsid w:val="6ABF15AE"/>
    <w:rsid w:val="6C9D0B3F"/>
    <w:rsid w:val="6E7854EF"/>
    <w:rsid w:val="745436E9"/>
    <w:rsid w:val="752175BA"/>
    <w:rsid w:val="7782001E"/>
    <w:rsid w:val="79F80A27"/>
    <w:rsid w:val="7E2A2A0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6">
    <w:name w:val="Emphasis"/>
    <w:basedOn w:val="5"/>
    <w:qFormat/>
    <w:uiPriority w:val="0"/>
    <w:rPr>
      <w:color w:val="CC0000"/>
    </w:rPr>
  </w:style>
  <w:style w:type="character" w:styleId="7">
    <w:name w:val="HTML Cite"/>
    <w:basedOn w:val="5"/>
    <w:qFormat/>
    <w:uiPriority w:val="0"/>
    <w:rPr>
      <w:color w:val="008000"/>
      <w:sz w:val="24"/>
      <w:szCs w:val="24"/>
    </w:rPr>
  </w:style>
  <w:style w:type="character" w:customStyle="1" w:styleId="9">
    <w:name w:val="font61"/>
    <w:basedOn w:val="5"/>
    <w:qFormat/>
    <w:uiPriority w:val="0"/>
    <w:rPr>
      <w:rFonts w:hint="eastAsia" w:ascii="宋体" w:hAnsi="宋体" w:eastAsia="宋体" w:cs="宋体"/>
      <w:color w:val="000000"/>
      <w:sz w:val="22"/>
      <w:szCs w:val="22"/>
      <w:u w:val="none"/>
    </w:rPr>
  </w:style>
  <w:style w:type="character" w:customStyle="1" w:styleId="10">
    <w:name w:val="font81"/>
    <w:basedOn w:val="5"/>
    <w:qFormat/>
    <w:uiPriority w:val="0"/>
    <w:rPr>
      <w:rFonts w:ascii="楷体" w:hAnsi="楷体" w:eastAsia="楷体" w:cs="楷体"/>
      <w:color w:val="000000"/>
      <w:sz w:val="18"/>
      <w:szCs w:val="18"/>
      <w:u w:val="none"/>
    </w:rPr>
  </w:style>
  <w:style w:type="character" w:customStyle="1" w:styleId="11">
    <w:name w:val="font01"/>
    <w:basedOn w:val="5"/>
    <w:qFormat/>
    <w:uiPriority w:val="0"/>
    <w:rPr>
      <w:rFonts w:ascii="Calibri" w:hAnsi="Calibri" w:cs="Calibri"/>
      <w:color w:val="000000"/>
      <w:sz w:val="24"/>
      <w:szCs w:val="24"/>
      <w:u w:val="none"/>
    </w:rPr>
  </w:style>
  <w:style w:type="character" w:customStyle="1" w:styleId="12">
    <w:name w:val="font51"/>
    <w:basedOn w:val="5"/>
    <w:qFormat/>
    <w:uiPriority w:val="0"/>
    <w:rPr>
      <w:rFonts w:hint="eastAsia" w:ascii="宋体" w:hAnsi="宋体" w:eastAsia="宋体" w:cs="宋体"/>
      <w:color w:val="000000"/>
      <w:sz w:val="18"/>
      <w:szCs w:val="18"/>
      <w:u w:val="none"/>
    </w:rPr>
  </w:style>
  <w:style w:type="character" w:customStyle="1" w:styleId="13">
    <w:name w:val="font91"/>
    <w:basedOn w:val="5"/>
    <w:qFormat/>
    <w:uiPriority w:val="0"/>
    <w:rPr>
      <w:rFonts w:hint="default" w:ascii="楷体" w:hAnsi="楷体" w:eastAsia="楷体" w:cs="楷体"/>
      <w:color w:val="000000"/>
      <w:sz w:val="18"/>
      <w:szCs w:val="18"/>
      <w:u w:val="none"/>
    </w:rPr>
  </w:style>
  <w:style w:type="character" w:customStyle="1" w:styleId="14">
    <w:name w:val="font71"/>
    <w:basedOn w:val="5"/>
    <w:qFormat/>
    <w:uiPriority w:val="0"/>
    <w:rPr>
      <w:rFonts w:hint="eastAsia" w:ascii="宋体" w:hAnsi="宋体" w:eastAsia="宋体" w:cs="宋体"/>
      <w:color w:val="000000"/>
      <w:sz w:val="18"/>
      <w:szCs w:val="18"/>
      <w:u w:val="none"/>
    </w:rPr>
  </w:style>
  <w:style w:type="character" w:customStyle="1" w:styleId="15">
    <w:name w:val="font11"/>
    <w:basedOn w:val="5"/>
    <w:qFormat/>
    <w:uiPriority w:val="0"/>
    <w:rPr>
      <w:rFonts w:hint="eastAsia" w:ascii="宋体" w:hAnsi="宋体" w:eastAsia="宋体" w:cs="宋体"/>
      <w:color w:val="000000"/>
      <w:sz w:val="24"/>
      <w:szCs w:val="24"/>
      <w:u w:val="none"/>
    </w:rPr>
  </w:style>
  <w:style w:type="character" w:customStyle="1" w:styleId="16">
    <w:name w:val="font101"/>
    <w:basedOn w:val="5"/>
    <w:qFormat/>
    <w:uiPriority w:val="0"/>
    <w:rPr>
      <w:rFonts w:hint="eastAsia" w:ascii="宋体" w:hAnsi="宋体" w:eastAsia="宋体" w:cs="宋体"/>
      <w:color w:val="333333"/>
      <w:sz w:val="18"/>
      <w:szCs w:val="18"/>
      <w:u w:val="none"/>
    </w:rPr>
  </w:style>
  <w:style w:type="character" w:customStyle="1" w:styleId="17">
    <w:name w:val="font112"/>
    <w:basedOn w:val="5"/>
    <w:qFormat/>
    <w:uiPriority w:val="0"/>
    <w:rPr>
      <w:rFonts w:hint="default" w:ascii="Times New Roman" w:hAnsi="Times New Roman" w:cs="Times New Roman"/>
      <w:color w:val="000000"/>
      <w:sz w:val="21"/>
      <w:szCs w:val="21"/>
      <w:u w:val="none"/>
    </w:rPr>
  </w:style>
  <w:style w:type="character" w:customStyle="1" w:styleId="18">
    <w:name w:val="font121"/>
    <w:basedOn w:val="5"/>
    <w:qFormat/>
    <w:uiPriority w:val="0"/>
    <w:rPr>
      <w:rFonts w:hint="eastAsia" w:ascii="宋体" w:hAnsi="宋体" w:eastAsia="宋体" w:cs="宋体"/>
      <w:color w:val="000000"/>
      <w:sz w:val="21"/>
      <w:szCs w:val="21"/>
      <w:u w:val="none"/>
    </w:rPr>
  </w:style>
  <w:style w:type="character" w:customStyle="1" w:styleId="19">
    <w:name w:val="font131"/>
    <w:basedOn w:val="5"/>
    <w:qFormat/>
    <w:uiPriority w:val="0"/>
    <w:rPr>
      <w:rFonts w:ascii="仿宋_GB2312" w:eastAsia="仿宋_GB2312" w:cs="仿宋_GB2312"/>
      <w:color w:val="000000"/>
      <w:sz w:val="21"/>
      <w:szCs w:val="21"/>
      <w:u w:val="none"/>
    </w:rPr>
  </w:style>
  <w:style w:type="character" w:customStyle="1" w:styleId="20">
    <w:name w:val="font31"/>
    <w:basedOn w:val="5"/>
    <w:qFormat/>
    <w:uiPriority w:val="0"/>
    <w:rPr>
      <w:rFonts w:ascii="楷体" w:hAnsi="楷体" w:eastAsia="楷体" w:cs="楷体"/>
      <w:color w:val="000000"/>
      <w:sz w:val="18"/>
      <w:szCs w:val="18"/>
      <w:u w:val="none"/>
    </w:rPr>
  </w:style>
  <w:style w:type="character" w:customStyle="1" w:styleId="21">
    <w:name w:val="font41"/>
    <w:basedOn w:val="5"/>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Office_10.8.0.6470_F1E327BC-269C-435d-A152-05C5408002CA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2016-10-26T07:37:00Z</dcterms:created>
  <dc:creator>Administrator</dc:creator>
  <cp:lastModifiedBy>Administrator</cp:lastModifiedBy>
  <cp:lastPrinted>2016-10-28T05:39:00Z</cp:lastPrinted>
  <dcterms:modified xsi:type="dcterms:W3CDTF">2021-09-27T08:53:35Z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2052-10.8.0.6470</vt:lpwstr>
  </property>
</Properties>
</file>